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5A" w:rsidRPr="00DF6EAC" w:rsidRDefault="002109CB" w:rsidP="00413E5A">
      <w:pPr>
        <w:pBdr>
          <w:bottom w:val="single" w:sz="12" w:space="1" w:color="auto"/>
        </w:pBdr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lang w:val="sq-AL" w:eastAsia="sq-A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-267970</wp:posOffset>
            </wp:positionV>
            <wp:extent cx="906780" cy="888365"/>
            <wp:effectExtent l="19050" t="0" r="7620" b="0"/>
            <wp:wrapNone/>
            <wp:docPr id="5" name="Picture 5" descr="mode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odeli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88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EAC">
        <w:rPr>
          <w:lang w:val="sq-AL" w:eastAsia="sq-AL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-133350</wp:posOffset>
            </wp:positionH>
            <wp:positionV relativeFrom="page">
              <wp:posOffset>295910</wp:posOffset>
            </wp:positionV>
            <wp:extent cx="6185535" cy="741045"/>
            <wp:effectExtent l="19050" t="0" r="5715" b="0"/>
            <wp:wrapSquare wrapText="bothSides"/>
            <wp:docPr id="4" name="Picture 4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74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3E5A" w:rsidRPr="00DF6EAC">
        <w:rPr>
          <w:rFonts w:ascii="Times New Roman" w:hAnsi="Times New Roman"/>
          <w:b/>
          <w:sz w:val="28"/>
          <w:szCs w:val="28"/>
          <w:lang w:val="sq-AL"/>
        </w:rPr>
        <w:t>MINISTRIA E ARSIMIT, SPORTIT DHE RINISË</w:t>
      </w:r>
    </w:p>
    <w:p w:rsidR="00413E5A" w:rsidRPr="00DF6EAC" w:rsidRDefault="00413E5A" w:rsidP="00413E5A">
      <w:pPr>
        <w:pBdr>
          <w:bottom w:val="single" w:sz="12" w:space="1" w:color="auto"/>
        </w:pBdr>
        <w:jc w:val="center"/>
        <w:rPr>
          <w:rFonts w:ascii="Times New Roman" w:eastAsia="Times New Roman" w:hAnsi="Times New Roman"/>
          <w:b/>
          <w:caps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MINISTRI</w:t>
      </w:r>
    </w:p>
    <w:p w:rsidR="00413E5A" w:rsidRPr="00DF6EAC" w:rsidRDefault="00413E5A" w:rsidP="00413E5A">
      <w:pPr>
        <w:spacing w:before="120"/>
        <w:rPr>
          <w:rFonts w:ascii="Times New Roman" w:hAnsi="Times New Roman"/>
          <w:i/>
          <w:sz w:val="28"/>
          <w:szCs w:val="28"/>
          <w:lang w:val="sq-AL"/>
        </w:rPr>
      </w:pPr>
      <w:r w:rsidRPr="00DF6EAC">
        <w:rPr>
          <w:rFonts w:ascii="Times New Roman" w:hAnsi="Times New Roman"/>
          <w:i/>
          <w:sz w:val="28"/>
          <w:szCs w:val="28"/>
          <w:lang w:val="sq-AL"/>
        </w:rPr>
        <w:t xml:space="preserve">Nr.    .... </w:t>
      </w:r>
      <w:proofErr w:type="spellStart"/>
      <w:r w:rsidRPr="00DF6EAC">
        <w:rPr>
          <w:rFonts w:ascii="Times New Roman" w:hAnsi="Times New Roman"/>
          <w:i/>
          <w:sz w:val="28"/>
          <w:szCs w:val="28"/>
          <w:lang w:val="sq-AL"/>
        </w:rPr>
        <w:t>Prot</w:t>
      </w:r>
      <w:proofErr w:type="spellEnd"/>
      <w:r w:rsidRPr="00DF6EAC">
        <w:rPr>
          <w:rFonts w:ascii="Times New Roman" w:hAnsi="Times New Roman"/>
          <w:i/>
          <w:sz w:val="28"/>
          <w:szCs w:val="28"/>
          <w:lang w:val="sq-AL"/>
        </w:rPr>
        <w:t>.</w:t>
      </w:r>
      <w:r w:rsidRPr="00DF6EAC">
        <w:rPr>
          <w:rFonts w:ascii="Times New Roman" w:hAnsi="Times New Roman"/>
          <w:i/>
          <w:sz w:val="28"/>
          <w:szCs w:val="28"/>
          <w:lang w:val="sq-AL"/>
        </w:rPr>
        <w:tab/>
      </w:r>
      <w:r w:rsidRPr="00DF6EAC">
        <w:rPr>
          <w:rFonts w:ascii="Times New Roman" w:hAnsi="Times New Roman"/>
          <w:i/>
          <w:sz w:val="28"/>
          <w:szCs w:val="28"/>
          <w:lang w:val="sq-AL"/>
        </w:rPr>
        <w:tab/>
      </w:r>
      <w:r w:rsidRPr="00DF6EAC">
        <w:rPr>
          <w:rFonts w:ascii="Times New Roman" w:hAnsi="Times New Roman"/>
          <w:i/>
          <w:sz w:val="28"/>
          <w:szCs w:val="28"/>
          <w:lang w:val="sq-AL"/>
        </w:rPr>
        <w:tab/>
        <w:t xml:space="preserve">               </w:t>
      </w:r>
      <w:r w:rsidRPr="00DF6EAC">
        <w:rPr>
          <w:rFonts w:ascii="Times New Roman" w:hAnsi="Times New Roman"/>
          <w:i/>
          <w:sz w:val="28"/>
          <w:szCs w:val="28"/>
          <w:lang w:val="sq-AL"/>
        </w:rPr>
        <w:tab/>
      </w:r>
      <w:r w:rsidRPr="00DF6EAC">
        <w:rPr>
          <w:rFonts w:ascii="Times New Roman" w:hAnsi="Times New Roman"/>
          <w:i/>
          <w:sz w:val="28"/>
          <w:szCs w:val="28"/>
          <w:lang w:val="sq-AL"/>
        </w:rPr>
        <w:tab/>
        <w:t xml:space="preserve">    Tiranë, më ___ .___. 2018</w:t>
      </w:r>
    </w:p>
    <w:p w:rsidR="00413E5A" w:rsidRPr="00DF6EAC" w:rsidRDefault="00413E5A" w:rsidP="00413E5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</w:p>
    <w:p w:rsidR="00413E5A" w:rsidRPr="00DF6EAC" w:rsidRDefault="00413E5A" w:rsidP="00413E5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u w:val="single"/>
          <w:lang w:val="sq-AL"/>
        </w:rPr>
        <w:t>RELACION</w:t>
      </w:r>
    </w:p>
    <w:p w:rsidR="00413E5A" w:rsidRPr="00DF6EAC" w:rsidRDefault="00413E5A" w:rsidP="00413E5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u w:val="single"/>
          <w:lang w:val="sq-AL"/>
        </w:rPr>
        <w:t>PËR</w:t>
      </w:r>
    </w:p>
    <w:p w:rsidR="00413E5A" w:rsidRPr="00DF6EAC" w:rsidRDefault="00413E5A" w:rsidP="00413E5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u w:val="single"/>
          <w:lang w:val="sq-AL"/>
        </w:rPr>
        <w:t>PROJEKTLIGJIN</w:t>
      </w:r>
    </w:p>
    <w:p w:rsidR="00413E5A" w:rsidRPr="00DF6EAC" w:rsidRDefault="00413E5A" w:rsidP="00413E5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 w:eastAsia="sq-AL"/>
        </w:rPr>
      </w:pPr>
      <w:r w:rsidRPr="00DF6EAC">
        <w:rPr>
          <w:rFonts w:ascii="Times New Roman" w:hAnsi="Times New Roman"/>
          <w:b/>
          <w:sz w:val="28"/>
          <w:szCs w:val="28"/>
          <w:u w:val="single"/>
          <w:lang w:val="sq-AL" w:eastAsia="sq-AL"/>
        </w:rPr>
        <w:t>PËR</w:t>
      </w:r>
    </w:p>
    <w:p w:rsidR="00413E5A" w:rsidRPr="00DF6EAC" w:rsidRDefault="00AD755A" w:rsidP="00413E5A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u w:val="single"/>
          <w:lang w:val="sq-AL" w:eastAsia="sq-AL"/>
        </w:rPr>
        <w:t>RININ</w:t>
      </w:r>
      <w:r w:rsidR="00413E5A" w:rsidRPr="00DF6EAC">
        <w:rPr>
          <w:rFonts w:ascii="Times New Roman" w:hAnsi="Times New Roman"/>
          <w:b/>
          <w:bCs/>
          <w:sz w:val="28"/>
          <w:szCs w:val="28"/>
          <w:u w:val="single"/>
          <w:lang w:val="sq-AL" w:eastAsia="sq-AL"/>
        </w:rPr>
        <w:t>Ë</w:t>
      </w:r>
    </w:p>
    <w:p w:rsidR="00413E5A" w:rsidRPr="00DF6EAC" w:rsidRDefault="00413E5A" w:rsidP="00413E5A">
      <w:pPr>
        <w:widowControl w:val="0"/>
        <w:adjustRightInd w:val="0"/>
        <w:spacing w:line="240" w:lineRule="auto"/>
        <w:ind w:left="1410" w:hanging="1410"/>
        <w:jc w:val="both"/>
        <w:rPr>
          <w:rFonts w:ascii="Times New Roman" w:hAnsi="Times New Roman"/>
          <w:b/>
          <w:bCs/>
          <w:sz w:val="28"/>
          <w:szCs w:val="28"/>
          <w:lang w:val="sq-AL"/>
        </w:rPr>
      </w:pPr>
    </w:p>
    <w:p w:rsidR="00413E5A" w:rsidRPr="00DF6EAC" w:rsidRDefault="00413E5A" w:rsidP="00413E5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QËLLIMI I PROJEKTLIGJIT DHE OBJEKTIVAT QË SYNOHEN TË ARRIHEN</w:t>
      </w:r>
    </w:p>
    <w:p w:rsidR="00413E5A" w:rsidRPr="00DF6EAC" w:rsidRDefault="00413E5A" w:rsidP="00413E5A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413E5A" w:rsidP="00413E5A">
      <w:pPr>
        <w:spacing w:after="120" w:line="240" w:lineRule="auto"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Projektligji që propozohet ka si qëllim 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p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rcaktimin e veprimtarive, mekanizmave dhe autoriteteve p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rgjegj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se p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r mbrojtjen dhe promovimin e 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drejtave 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proofErr w:type="spellEnd"/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rinjve. Kushtetuta e Republik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s s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Shqip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>ris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935C94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parashikon 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>mbrojtje 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veçant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p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>r f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>mij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>t e 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rinjt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color w:val="000000"/>
          <w:sz w:val="28"/>
          <w:szCs w:val="28"/>
          <w:lang w:val="sq-AL"/>
        </w:rPr>
        <w:t>. N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k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kuad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color w:val="000000"/>
          <w:sz w:val="28"/>
          <w:szCs w:val="28"/>
          <w:lang w:val="sq-AL"/>
        </w:rPr>
        <w:t>r,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ky projekt-ligj kontribuon n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realizimin e k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410968" w:rsidRPr="00DF6EAC">
        <w:rPr>
          <w:rFonts w:ascii="Times New Roman" w:hAnsi="Times New Roman"/>
          <w:color w:val="000000"/>
          <w:sz w:val="28"/>
          <w:szCs w:val="28"/>
          <w:lang w:val="sq-AL"/>
        </w:rPr>
        <w:t>tij parashikimi dhe realizimin e objektivave social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. </w:t>
      </w:r>
    </w:p>
    <w:p w:rsidR="00410968" w:rsidRPr="00DF6EAC" w:rsidRDefault="00410968" w:rsidP="00413E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  <w:r w:rsidRPr="00DF6EAC">
        <w:rPr>
          <w:rFonts w:ascii="Times New Roman" w:hAnsi="Times New Roman"/>
          <w:color w:val="000000"/>
          <w:sz w:val="28"/>
          <w:szCs w:val="28"/>
          <w:lang w:val="sq-AL" w:eastAsia="sq-AL"/>
        </w:rPr>
        <w:t xml:space="preserve">Projektligji 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synon plot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simin e kuadrit ligjor ekzistues q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ndikon tek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si edhe rritjen e pjes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marrjes 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rinjve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proceset </w:t>
      </w:r>
      <w:proofErr w:type="spellStart"/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politik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b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se</w:t>
      </w:r>
      <w:proofErr w:type="spellEnd"/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dhe vendimmarr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se. </w:t>
      </w:r>
    </w:p>
    <w:p w:rsidR="00410968" w:rsidRPr="00DF6EAC" w:rsidRDefault="00410968" w:rsidP="00413E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</w:p>
    <w:p w:rsidR="00413E5A" w:rsidRPr="00DF6EAC" w:rsidRDefault="009A0A8F" w:rsidP="00413E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Programi politik i K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shillit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Ministrave parashikon zhvillimin e politikave rinore m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q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llim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rmir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simin e cil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sis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jet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 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rinjve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rmes disa aktiviteteve.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k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kuad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r, ky projektligj i sh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rben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rmir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simit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legjislacionit, rritjes 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aktivizimit dhe pjes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marrjes 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rinjve dhe vendosjes 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standardeve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 infrastruktur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sh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rbim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proofErr w:type="spellEnd"/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rinjve, duke prezantuar standardin e hap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sirave</w:t>
      </w:r>
      <w:r w:rsidR="00244297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rinore 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sigurta. </w:t>
      </w:r>
    </w:p>
    <w:p w:rsidR="00413E5A" w:rsidRPr="00DF6EAC" w:rsidRDefault="00413E5A" w:rsidP="00413E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</w:p>
    <w:p w:rsidR="00413E5A" w:rsidRPr="00DF6EAC" w:rsidRDefault="00413E5A" w:rsidP="00413E5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sq-AL"/>
        </w:rPr>
      </w:pP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Përmes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k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tij projekt-ligji synohet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rcaktimi i rolit dhe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rgjegj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sive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institucioneve publike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nivel qendror dhe lokal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fush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 e mbrojtjes dhe fuqizimit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proofErr w:type="spellEnd"/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rinjve duke propozuar dhe ngritjen e strukturave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reja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nivel bashkie,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dedikuara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 adresimin e ç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shtjeve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proofErr w:type="spellEnd"/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rinjve</w:t>
      </w:r>
      <w:r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.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kuad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trajtimit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proofErr w:type="spellEnd"/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gjith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aktor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ve publik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e jo-publik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, si aktor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me rol shum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nd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sish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m 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 adresimin e ç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shtjeve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</w:t>
      </w:r>
      <w:proofErr w:type="spellStart"/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proofErr w:type="spellEnd"/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rinjve p</w:t>
      </w:r>
      <w:r w:rsidR="009A0A8F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rojektligji sjell konceptin e rrjetit rinor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, 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lastRenderedPageBreak/>
        <w:t>pjes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e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cilit jan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jo vet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m institucionet e organizatat por edhe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rinjt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individ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. Bashk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punimit i tyre 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sht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projektuar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realizohet n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p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rmjet nd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rveprimit aktiv, sistematik, transparent, 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 vazhduesh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m dhe afatgjat</w:t>
      </w:r>
      <w:r w:rsidR="00304B4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>ë</w:t>
      </w:r>
      <w:r w:rsidR="00EC71CA" w:rsidRPr="00DF6EAC">
        <w:rPr>
          <w:rFonts w:ascii="Times New Roman" w:eastAsia="Times New Roman" w:hAnsi="Times New Roman"/>
          <w:color w:val="000000"/>
          <w:sz w:val="28"/>
          <w:szCs w:val="28"/>
          <w:lang w:val="sq-AL"/>
        </w:rPr>
        <w:t xml:space="preserve">. </w:t>
      </w:r>
    </w:p>
    <w:p w:rsidR="00413E5A" w:rsidRPr="00DF6EAC" w:rsidRDefault="00413E5A" w:rsidP="00413E5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413E5A" w:rsidP="00413E5A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VLERËSIMI I PROJEKTLIGJIT NË RAPORT ME PROGRAMIN POLITIK TË KËSHILLIT TË MINISTRAVE, ME PROGRAMIN ANALITIK TË AKTEVE DHE DOKUMENTENE TË TJERA POLITIKE</w:t>
      </w:r>
    </w:p>
    <w:p w:rsidR="00413E5A" w:rsidRPr="00DF6EAC" w:rsidRDefault="00413E5A" w:rsidP="00413E5A">
      <w:pPr>
        <w:spacing w:before="100" w:beforeAutospacing="1" w:after="100" w:afterAutospacing="1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Ky projektligj është në përputhje të plotë me programin politik të Këshillit të Ministrave, kuadrin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 xml:space="preserve"> ligjor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 xml:space="preserve"> fuqi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 xml:space="preserve"> adreson aspekte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 xml:space="preserve"> caktuara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 xml:space="preserve"> mbrojtjes,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>rfshirjes dhe fuqizimit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EC71CA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proofErr w:type="spellEnd"/>
      <w:r w:rsidR="00EC71CA" w:rsidRPr="00DF6EAC">
        <w:rPr>
          <w:rFonts w:ascii="Times New Roman" w:hAnsi="Times New Roman"/>
          <w:sz w:val="28"/>
          <w:szCs w:val="28"/>
          <w:lang w:val="sq-AL"/>
        </w:rPr>
        <w:t xml:space="preserve"> rinjve dhe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mundëson ushtrimin efektiv të përgjegjësisë së strukturave 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>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>rgjegj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/>
        </w:rPr>
        <w:t>se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413E5A" w:rsidRPr="00DF6EAC" w:rsidRDefault="00413E5A" w:rsidP="00413E5A">
      <w:pPr>
        <w:numPr>
          <w:ilvl w:val="0"/>
          <w:numId w:val="7"/>
        </w:numPr>
        <w:tabs>
          <w:tab w:val="left" w:pos="720"/>
          <w:tab w:val="center" w:pos="4320"/>
          <w:tab w:val="right" w:pos="8640"/>
        </w:tabs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 xml:space="preserve">ARGUMENTIMI I PROJEKTLIGJIT LIDHUR ME PËRPARËSITË, PROBLEMATIKAT, EFEKTET E PRITSHME </w:t>
      </w:r>
    </w:p>
    <w:p w:rsidR="00413E5A" w:rsidRPr="00DF6EAC" w:rsidRDefault="00413E5A" w:rsidP="00413E5A">
      <w:pPr>
        <w:tabs>
          <w:tab w:val="left" w:pos="720"/>
          <w:tab w:val="center" w:pos="4320"/>
          <w:tab w:val="right" w:pos="8640"/>
        </w:tabs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Pr="00DF6EAC" w:rsidRDefault="00413E5A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Ky projektligj ka përparësi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 xml:space="preserve"> drejtimet e m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poshtme</w:t>
      </w:r>
      <w:r w:rsidRPr="00DF6EAC">
        <w:rPr>
          <w:rFonts w:ascii="Times New Roman" w:hAnsi="Times New Roman"/>
          <w:sz w:val="28"/>
          <w:szCs w:val="28"/>
          <w:lang w:val="sq-AL"/>
        </w:rPr>
        <w:t>:</w:t>
      </w:r>
    </w:p>
    <w:p w:rsidR="006F6A0F" w:rsidRPr="00DF6EAC" w:rsidRDefault="006F6A0F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Përfaqëson një akt ligjor të posaçëm për mbrojtjen dhe promovimin e të drejtave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rinjve. </w:t>
      </w:r>
    </w:p>
    <w:p w:rsidR="00413E5A" w:rsidRPr="00DF6EAC" w:rsidRDefault="006B2C48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Prezantimin e mekanizmave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fuqizimit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 dhe realizimit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pjes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marrjes 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tyre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proceset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politik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se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dhe vendimmarr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se duke rritur pjes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marrjen 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rinjve </w:t>
      </w:r>
      <w:r w:rsidR="00413E5A" w:rsidRPr="00DF6EAC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413E5A" w:rsidRPr="00DF6EAC" w:rsidRDefault="006B2C48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rcaktimin e veprimtarive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cilat nxisin aktivizimin 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rinjve dhe do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shteten nga shteti</w:t>
      </w:r>
      <w:r w:rsidR="00413E5A"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244297" w:rsidRPr="00DF6EAC" w:rsidRDefault="00244297" w:rsidP="00244297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Projektligji prezanton konceptin e hap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sirave rinore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sigurta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është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fakt standardi që duhet përmbushur në hapësirat ku të rinjtë mblidhen, angazhohen në veprimtari që i përshtaten nevojave të tyre të shumëllojshme, marrin pjesë në procese vendimmarrëse dhe shprehen lirshëm. Hapësirat rinore të sigurta përfshijnë hapësirat qytetare që i japin mundësi të rinjve të angazhohen në çështjet e qeverisjes; hapësirat publike që i japin mundësi të rinjve të marrin pjesë në veprimtari sportive, kulturore e argëtuese në komunitet; hapësirat digjitale që i ndihmojnë të rinjtë të</w:t>
      </w:r>
      <w:r w:rsidR="007446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ndërveprojnë</w:t>
      </w:r>
      <w:proofErr w:type="spellEnd"/>
      <w:r w:rsidR="0074467A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virtualisht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me të rinj të tjerë brenda e jashtë vendit; dhe hapësira fizike të projektuara dhe planifikuara për të plotësuar nevojat e shumëllojshme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 në përgjithësi e sidomos të atyre nga grupet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>vulnerabël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ose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margjinalizuar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. Ky koncept ka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rafruar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konceptin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e 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shillit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Evrop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s,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 hap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sirat rinore.</w:t>
      </w:r>
    </w:p>
    <w:p w:rsidR="00244297" w:rsidRPr="00DF6EAC" w:rsidRDefault="00244297" w:rsidP="00244297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Projektligji prezanton dhe rregullon konceptet e “edukimit jo-formal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rinjt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” dhe r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nd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sin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e tij,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konceptin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e “pun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 rinore” dhe “punonj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sit rinor” me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llim vendosjen e disa kritereve baz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 profesionist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t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do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punojn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rinjt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413E5A" w:rsidRPr="00DF6EAC" w:rsidRDefault="006B2C48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rcaktimin e rolit dhe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rgjegj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sive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autoriteteve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rgjegj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se duke ofruar nj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list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detajuar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detyrave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institucioneve 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dhe strukturave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nivel qendror dhe vendor,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brenda fush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s 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vet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veprimtaris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ushtrojn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rgjegj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si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n e mbrojtjes e fuqizimit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792E39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proofErr w:type="spellEnd"/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rinjve</w:t>
      </w:r>
      <w:r w:rsidR="00413E5A" w:rsidRPr="00DF6EAC">
        <w:rPr>
          <w:rFonts w:ascii="Times New Roman" w:hAnsi="Times New Roman"/>
          <w:sz w:val="28"/>
          <w:szCs w:val="28"/>
          <w:lang w:val="sq-AL"/>
        </w:rPr>
        <w:t>.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Lista e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rgjegj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sive parashikon angazhime,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rgjegj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si e detyra konkrete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r 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to institucione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shtetje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mir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qenies e zhvillimit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potencialit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792E39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proofErr w:type="spellEnd"/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rinjve. </w:t>
      </w:r>
    </w:p>
    <w:p w:rsidR="00413E5A" w:rsidRPr="00DF6EAC" w:rsidRDefault="00413E5A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Projektligji mundëson krijimin e bazës ligjore për 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dy struktura konsultative, 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shillit Komb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tar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Rinis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dhe 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shillit Vendor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Rinis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,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do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operojn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nivel komb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tar dhe lokal dhe marrin pjes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hartimin dhe zhvillimin e politikave dhe veprimtarive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92E39" w:rsidRPr="00DF6EAC">
        <w:rPr>
          <w:rFonts w:ascii="Times New Roman" w:hAnsi="Times New Roman"/>
          <w:sz w:val="28"/>
          <w:szCs w:val="28"/>
          <w:lang w:val="sq-AL"/>
        </w:rPr>
        <w:t>n e rinis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413E5A" w:rsidRPr="00DF6EAC" w:rsidRDefault="00792E39" w:rsidP="00413E5A">
      <w:pPr>
        <w:numPr>
          <w:ilvl w:val="0"/>
          <w:numId w:val="9"/>
        </w:numPr>
        <w:spacing w:after="160"/>
        <w:jc w:val="both"/>
        <w:rPr>
          <w:rFonts w:ascii="Times New Roman" w:eastAsia="Times New Roman" w:hAnsi="Times New Roman"/>
          <w:bCs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Projektligji prezanton Autoritetin Komb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tar Rinor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do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z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vend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soj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Sh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rbimin Komb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tar Rinor, duke parashikuar 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gjithashtu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detyra 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m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gjera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r 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institucion</w:t>
      </w:r>
      <w:r w:rsidR="00413E5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.</w:t>
      </w:r>
      <w:r w:rsidR="00D81BFE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Ky em</w:t>
      </w:r>
      <w:r w:rsidR="00127318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D81BFE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rtim i propozuar p</w:t>
      </w:r>
      <w:r w:rsidR="00127318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D81BFE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rputhet me mir</w:t>
      </w:r>
      <w:r w:rsidR="00127318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D81BFE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m</w:t>
      </w:r>
      <w:r w:rsidR="00127318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D81BFE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rolin e funksionet e k</w:t>
      </w:r>
      <w:r w:rsidR="00127318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D81BFE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tij institucioni.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AKR do t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ket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nj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rol t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r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nd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sish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m n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ngritjen e kapaciteteve t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nj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sive dhe strukturave q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</w:t>
      </w:r>
      <w:r w:rsidR="00DF6EAC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merren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me t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rinjt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, n</w:t>
      </w:r>
      <w:r w:rsidR="00304B4A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>ë</w:t>
      </w:r>
      <w:r w:rsidR="00244297" w:rsidRPr="00DF6EAC">
        <w:rPr>
          <w:rFonts w:ascii="Times New Roman" w:eastAsia="Times New Roman" w:hAnsi="Times New Roman"/>
          <w:bCs/>
          <w:sz w:val="28"/>
          <w:szCs w:val="28"/>
          <w:lang w:val="sq-AL"/>
        </w:rPr>
        <w:t xml:space="preserve"> nivel qendror dhe vendor, publike e private.</w:t>
      </w:r>
    </w:p>
    <w:p w:rsidR="00413E5A" w:rsidRPr="00DF6EAC" w:rsidRDefault="00413E5A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Projektligji 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rregullon kriteret e organizatave rinore dhe organizat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s komb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tare rinore e cila do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jet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organizat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ombrell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dhe nj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si e shpejt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reference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r konsultimin 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gjitha politikave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cilat ndikojn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tek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rinjt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. 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>rmjet kritereve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 propozuara synohet rritja e aktivizimit rinor dhe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rritja e bashk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veprimit nd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rmje</w:t>
      </w:r>
      <w:r w:rsidR="00244297" w:rsidRPr="00DF6EAC">
        <w:rPr>
          <w:rFonts w:ascii="Times New Roman" w:hAnsi="Times New Roman"/>
          <w:sz w:val="28"/>
          <w:szCs w:val="28"/>
          <w:lang w:val="sq-AL"/>
        </w:rPr>
        <w:t xml:space="preserve">t organizatave rinore 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me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llim bashkimin e njohurive dhe potencialeve si dhe krijimin e </w:t>
      </w:r>
      <w:proofErr w:type="spellStart"/>
      <w:r w:rsidR="008601B9" w:rsidRPr="00DF6EAC">
        <w:rPr>
          <w:rFonts w:ascii="Times New Roman" w:hAnsi="Times New Roman"/>
          <w:sz w:val="28"/>
          <w:szCs w:val="28"/>
          <w:lang w:val="sq-AL"/>
        </w:rPr>
        <w:t>sinergjive</w:t>
      </w:r>
      <w:proofErr w:type="spellEnd"/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r arritjen e q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llimeve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rbashk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ta. 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to subjekte do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shteten me financime nga buxheti i shtetit dhe buxhetet vendore. Projektligji parashikon edhe krijimin e personave juridik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nga nj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sit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e vet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qeverisjes vendore,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cilat m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pas mund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marrin pjes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thirrjet e hapura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r projektet rinore dhe aplikojn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r 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shtetje nga projektet komb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tare e nd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>rkomb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601B9" w:rsidRPr="00DF6EAC">
        <w:rPr>
          <w:rFonts w:ascii="Times New Roman" w:hAnsi="Times New Roman"/>
          <w:sz w:val="28"/>
          <w:szCs w:val="28"/>
          <w:lang w:val="sq-AL"/>
        </w:rPr>
        <w:t xml:space="preserve">tare.   </w:t>
      </w:r>
    </w:p>
    <w:p w:rsidR="00413E5A" w:rsidRPr="00DF6EAC" w:rsidRDefault="008601B9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>Projektligji parashikon burimet e financimit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politikave, programeve dhe veprimtarive rinore duke theksuar kontributin e buxheteve vendore 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drejtim krahas planifikimeve e parashikimeve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buxhetit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shtetit</w:t>
      </w:r>
      <w:r w:rsidR="00413E5A" w:rsidRPr="00DF6EAC">
        <w:rPr>
          <w:rFonts w:ascii="Times New Roman" w:hAnsi="Times New Roman"/>
          <w:sz w:val="28"/>
          <w:szCs w:val="28"/>
          <w:lang w:val="sq-AL"/>
        </w:rPr>
        <w:t>.</w:t>
      </w:r>
      <w:r w:rsidR="008349B3" w:rsidRPr="00DF6EAC">
        <w:rPr>
          <w:rFonts w:ascii="Times New Roman" w:hAnsi="Times New Roman"/>
          <w:sz w:val="28"/>
          <w:szCs w:val="28"/>
          <w:lang w:val="sq-AL"/>
        </w:rPr>
        <w:t xml:space="preserve"> Nj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349B3" w:rsidRPr="00DF6EAC">
        <w:rPr>
          <w:rFonts w:ascii="Times New Roman" w:hAnsi="Times New Roman"/>
          <w:sz w:val="28"/>
          <w:szCs w:val="28"/>
          <w:lang w:val="sq-AL"/>
        </w:rPr>
        <w:t>koh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349B3" w:rsidRPr="00DF6EAC">
        <w:rPr>
          <w:rFonts w:ascii="Times New Roman" w:hAnsi="Times New Roman"/>
          <w:sz w:val="28"/>
          <w:szCs w:val="28"/>
          <w:lang w:val="sq-AL"/>
        </w:rPr>
        <w:t>sisht parashikon dhe burime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349B3" w:rsidRPr="00DF6EAC">
        <w:rPr>
          <w:rFonts w:ascii="Times New Roman" w:hAnsi="Times New Roman"/>
          <w:sz w:val="28"/>
          <w:szCs w:val="28"/>
          <w:lang w:val="sq-AL"/>
        </w:rPr>
        <w:t xml:space="preserve"> tjera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349B3" w:rsidRPr="00DF6EAC">
        <w:rPr>
          <w:rFonts w:ascii="Times New Roman" w:hAnsi="Times New Roman"/>
          <w:sz w:val="28"/>
          <w:szCs w:val="28"/>
          <w:lang w:val="sq-AL"/>
        </w:rPr>
        <w:t xml:space="preserve"> ligjshme financimi si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8349B3" w:rsidRPr="00DF6EAC">
        <w:rPr>
          <w:rFonts w:ascii="Times New Roman" w:hAnsi="Times New Roman"/>
          <w:sz w:val="28"/>
          <w:szCs w:val="28"/>
          <w:lang w:val="sq-AL"/>
        </w:rPr>
        <w:t xml:space="preserve"> ardhurat e </w:t>
      </w:r>
      <w:proofErr w:type="spellStart"/>
      <w:r w:rsidR="008349B3" w:rsidRPr="00DF6EAC">
        <w:rPr>
          <w:rFonts w:ascii="Times New Roman" w:hAnsi="Times New Roman"/>
          <w:sz w:val="28"/>
          <w:szCs w:val="28"/>
          <w:lang w:val="sq-AL"/>
        </w:rPr>
        <w:t>gjeneruara</w:t>
      </w:r>
      <w:proofErr w:type="spellEnd"/>
      <w:r w:rsidR="008349B3" w:rsidRPr="00DF6EAC">
        <w:rPr>
          <w:rFonts w:ascii="Times New Roman" w:hAnsi="Times New Roman"/>
          <w:sz w:val="28"/>
          <w:szCs w:val="28"/>
          <w:lang w:val="sq-AL"/>
        </w:rPr>
        <w:t xml:space="preserve"> nga veprimtaria e organizatave rinore, donacionet, </w:t>
      </w:r>
      <w:proofErr w:type="spellStart"/>
      <w:r w:rsidR="008349B3" w:rsidRPr="00DF6EAC">
        <w:rPr>
          <w:rFonts w:ascii="Times New Roman" w:hAnsi="Times New Roman"/>
          <w:sz w:val="28"/>
          <w:szCs w:val="28"/>
          <w:lang w:val="sq-AL"/>
        </w:rPr>
        <w:t>sponsorizimet</w:t>
      </w:r>
      <w:proofErr w:type="spellEnd"/>
      <w:r w:rsidR="008349B3" w:rsidRPr="00DF6EAC">
        <w:rPr>
          <w:rFonts w:ascii="Times New Roman" w:hAnsi="Times New Roman"/>
          <w:sz w:val="28"/>
          <w:szCs w:val="28"/>
          <w:lang w:val="sq-AL"/>
        </w:rPr>
        <w:t>, programet Evropiane etj.</w:t>
      </w:r>
    </w:p>
    <w:p w:rsidR="00413E5A" w:rsidRPr="00DF6EAC" w:rsidRDefault="008349B3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N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kuad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financimit, projektligji parashikon financimin dhe bashk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financimin dhe parashikon m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nyrat e financimit dhe z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rat konkret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304B4A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financimit</w:t>
      </w:r>
      <w:r w:rsidR="00413E5A"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413E5A" w:rsidRPr="00DF6EAC" w:rsidRDefault="008349B3" w:rsidP="00413E5A">
      <w:pPr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Projektligji rregullon Baz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n e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Dh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nave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 Rinin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,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rmbajtjen e q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llimin e saj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siguruar informacion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rdit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suar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 situat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n e nevojat e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rinjve, n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mb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shtetje edhe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planifikimit, </w:t>
      </w:r>
      <w:r w:rsidR="00DF6EAC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mbikëqyrjes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dhe vler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simit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ndikimit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politikave rinore ne nivel qendror dhe lokal</w:t>
      </w:r>
      <w:r w:rsidR="00413E5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.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N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k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drejtim, baza e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dh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nave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rmban jo vet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m informacion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 organizatat rinore, organizatat e tjera q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ushtrojn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veprimtari n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fush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n e mbrojtjes e fuqizimit 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</w:t>
      </w:r>
      <w:proofErr w:type="spellStart"/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t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proofErr w:type="spellEnd"/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 rinjve, por edhe informacion p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 politikat komb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tare e nd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rkomb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>ë</w:t>
      </w:r>
      <w:r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tare, </w:t>
      </w:r>
      <w:r w:rsidR="00304B4A" w:rsidRPr="00DF6EAC">
        <w:rPr>
          <w:rFonts w:ascii="Times New Roman" w:eastAsia="Futura" w:hAnsi="Times New Roman"/>
          <w:color w:val="000000"/>
          <w:sz w:val="28"/>
          <w:szCs w:val="28"/>
          <w:shd w:val="clear" w:color="auto" w:fill="FFFFFF"/>
          <w:lang w:val="sq-AL"/>
        </w:rPr>
        <w:t xml:space="preserve">mundësitë e financimit të projekteve dhe studime, analiza e informacione të tjera me interes për të rinjtë. </w:t>
      </w:r>
    </w:p>
    <w:p w:rsidR="00413E5A" w:rsidRPr="00DF6EAC" w:rsidRDefault="00304B4A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Efektet e pritshme: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rmir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simi i situat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 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rinjve 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gjith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vendin.</w:t>
      </w:r>
    </w:p>
    <w:p w:rsidR="00413E5A" w:rsidRPr="00DF6EAC" w:rsidRDefault="00413E5A" w:rsidP="00413E5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:rsidR="00413E5A" w:rsidRPr="00DF6EAC" w:rsidRDefault="00413E5A" w:rsidP="00413E5A">
      <w:pPr>
        <w:jc w:val="both"/>
        <w:rPr>
          <w:rFonts w:ascii="Times New Roman" w:hAnsi="Times New Roman"/>
          <w:b/>
          <w:bCs/>
          <w:caps/>
          <w:sz w:val="28"/>
          <w:szCs w:val="28"/>
          <w:lang w:val="sq-AL"/>
        </w:rPr>
      </w:pPr>
    </w:p>
    <w:p w:rsidR="00413E5A" w:rsidRPr="00DF6EAC" w:rsidRDefault="00413E5A" w:rsidP="00413E5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Ky projektligj është hartuar në zbatim të neneve 78 dhe 83, pika 1, të Kushtetutës së Republikës së Shqipërisë.</w:t>
      </w:r>
    </w:p>
    <w:p w:rsidR="00413E5A" w:rsidRPr="00DF6EAC" w:rsidRDefault="00413E5A" w:rsidP="00413E5A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413E5A" w:rsidP="00413E5A">
      <w:pPr>
        <w:numPr>
          <w:ilvl w:val="0"/>
          <w:numId w:val="7"/>
        </w:numPr>
        <w:tabs>
          <w:tab w:val="left" w:pos="720"/>
          <w:tab w:val="center" w:pos="4320"/>
          <w:tab w:val="right" w:pos="8640"/>
        </w:tabs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VLERËSIMI I SHKALLËS SË PËRAFRIMIT ME ACQUIS COMMUNAUTAIRE (PËR PROJEKTAKTET NORMATIVE)</w:t>
      </w:r>
    </w:p>
    <w:p w:rsidR="00413E5A" w:rsidRPr="00DF6EAC" w:rsidRDefault="00413E5A" w:rsidP="00413E5A">
      <w:pPr>
        <w:tabs>
          <w:tab w:val="left" w:pos="720"/>
          <w:tab w:val="center" w:pos="4320"/>
          <w:tab w:val="right" w:pos="8640"/>
        </w:tabs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Pr="00DF6EAC" w:rsidRDefault="00413E5A" w:rsidP="00413E5A">
      <w:pPr>
        <w:tabs>
          <w:tab w:val="left" w:pos="360"/>
          <w:tab w:val="center" w:pos="4680"/>
          <w:tab w:val="right" w:pos="9360"/>
        </w:tabs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Ky projekt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ligj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nuk 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ka p</w:t>
      </w:r>
      <w:r w:rsidR="00127318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>rputhshm</w:t>
      </w:r>
      <w:r w:rsidR="00127318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ri e nuk përafron </w:t>
      </w:r>
      <w:proofErr w:type="spellStart"/>
      <w:r w:rsidRPr="00DF6EAC">
        <w:rPr>
          <w:rFonts w:ascii="Times New Roman" w:hAnsi="Times New Roman"/>
          <w:i/>
          <w:color w:val="000000"/>
          <w:sz w:val="28"/>
          <w:szCs w:val="28"/>
          <w:lang w:val="sq-AL"/>
        </w:rPr>
        <w:t>acquis</w:t>
      </w:r>
      <w:proofErr w:type="spellEnd"/>
      <w:r w:rsidRPr="00DF6EAC">
        <w:rPr>
          <w:rFonts w:ascii="Times New Roman" w:hAnsi="Times New Roman"/>
          <w:i/>
          <w:color w:val="000000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i/>
          <w:color w:val="000000"/>
          <w:sz w:val="28"/>
          <w:szCs w:val="28"/>
          <w:lang w:val="sq-AL"/>
        </w:rPr>
        <w:t>communautaire</w:t>
      </w:r>
      <w:proofErr w:type="spellEnd"/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t</w:t>
      </w:r>
      <w:r w:rsidR="00127318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304B4A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Bashkimit Evropian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.</w:t>
      </w:r>
    </w:p>
    <w:p w:rsidR="00413E5A" w:rsidRPr="00DF6EAC" w:rsidRDefault="00413E5A" w:rsidP="00413E5A">
      <w:pPr>
        <w:tabs>
          <w:tab w:val="left" w:pos="360"/>
          <w:tab w:val="center" w:pos="4680"/>
          <w:tab w:val="right" w:pos="9360"/>
        </w:tabs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</w:p>
    <w:p w:rsidR="00413E5A" w:rsidRPr="00DF6EAC" w:rsidRDefault="00413E5A" w:rsidP="00413E5A">
      <w:pPr>
        <w:numPr>
          <w:ilvl w:val="0"/>
          <w:numId w:val="7"/>
        </w:numPr>
        <w:tabs>
          <w:tab w:val="left" w:pos="720"/>
          <w:tab w:val="center" w:pos="4320"/>
          <w:tab w:val="right" w:pos="8640"/>
        </w:tabs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lastRenderedPageBreak/>
        <w:t>PËRMBLEDHJE SHPJEGUESE E PËRMBAJTJES SË PROJEKTLIGJIT</w:t>
      </w:r>
    </w:p>
    <w:p w:rsidR="00413E5A" w:rsidRPr="00DF6EAC" w:rsidRDefault="00413E5A" w:rsidP="00413E5A">
      <w:pPr>
        <w:tabs>
          <w:tab w:val="left" w:pos="720"/>
          <w:tab w:val="center" w:pos="4320"/>
          <w:tab w:val="right" w:pos="8640"/>
        </w:tabs>
        <w:spacing w:after="0"/>
        <w:ind w:left="720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Pr="00DF6EAC" w:rsidRDefault="00413E5A" w:rsidP="00413E5A">
      <w:pPr>
        <w:tabs>
          <w:tab w:val="left" w:pos="720"/>
          <w:tab w:val="center" w:pos="4320"/>
          <w:tab w:val="right" w:pos="8640"/>
        </w:tabs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Projektligji </w:t>
      </w:r>
      <w:r w:rsidR="005B34A3" w:rsidRPr="00DF6EAC">
        <w:rPr>
          <w:rFonts w:ascii="Times New Roman" w:hAnsi="Times New Roman"/>
          <w:sz w:val="28"/>
          <w:szCs w:val="28"/>
          <w:lang w:val="sq-AL"/>
        </w:rPr>
        <w:t>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5B34A3" w:rsidRPr="00DF6EAC">
        <w:rPr>
          <w:rFonts w:ascii="Times New Roman" w:hAnsi="Times New Roman"/>
          <w:sz w:val="28"/>
          <w:szCs w:val="28"/>
          <w:lang w:val="sq-AL"/>
        </w:rPr>
        <w:t>rb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5B34A3" w:rsidRPr="00DF6EAC">
        <w:rPr>
          <w:rFonts w:ascii="Times New Roman" w:hAnsi="Times New Roman"/>
          <w:sz w:val="28"/>
          <w:szCs w:val="28"/>
          <w:lang w:val="sq-AL"/>
        </w:rPr>
        <w:t>het nga 21 nene</w:t>
      </w:r>
      <w:r w:rsidRPr="00DF6EAC">
        <w:rPr>
          <w:rFonts w:ascii="Times New Roman" w:hAnsi="Times New Roman"/>
          <w:sz w:val="28"/>
          <w:szCs w:val="28"/>
          <w:lang w:val="sq-AL"/>
        </w:rPr>
        <w:t>:</w:t>
      </w:r>
    </w:p>
    <w:p w:rsidR="004535B5" w:rsidRPr="00DF6EAC" w:rsidRDefault="00413E5A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parashikohet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llimi. Projektligji ka për qëllim përcaktimin e veprimtarive, mekanizmave dhe autoriteteve përgjegjëse për mbrojtjen dhe promovimin e të drejtave të </w:t>
      </w:r>
      <w:proofErr w:type="spellStart"/>
      <w:r w:rsidR="004535B5"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rinjve në Republikën e Shqipërisë, në kuadër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4535B5"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drejtës së të rinjve për mbrojtje të veçantë nga shteti.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Projektligji synon:</w:t>
      </w:r>
      <w:r w:rsidRPr="00DF6EAC">
        <w:rPr>
          <w:rFonts w:ascii="Times New Roman" w:hAnsi="Times New Roman"/>
          <w:sz w:val="28"/>
          <w:szCs w:val="28"/>
          <w:lang w:val="sq-AL"/>
        </w:rPr>
        <w:tab/>
      </w:r>
    </w:p>
    <w:p w:rsidR="004535B5" w:rsidRPr="00DF6EAC" w:rsidRDefault="004535B5" w:rsidP="004535B5">
      <w:pPr>
        <w:pStyle w:val="ListParagraph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të plotësojë kuadrin ligjor e institucional për të rinjtë;</w:t>
      </w:r>
    </w:p>
    <w:p w:rsidR="004535B5" w:rsidRPr="00DF6EAC" w:rsidRDefault="004535B5" w:rsidP="004535B5">
      <w:pPr>
        <w:pStyle w:val="ListParagraph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të mbrojë të drejtat e të rinjve dhe të garantojë përputhshmërinë me rekomandimet e institucioneve ndërkombëtare në këtë fushë;</w:t>
      </w:r>
    </w:p>
    <w:p w:rsidR="004535B5" w:rsidRPr="00DF6EAC" w:rsidRDefault="004535B5" w:rsidP="004535B5">
      <w:pPr>
        <w:pStyle w:val="ListParagraph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të përcaktojë funksionet dhe kompetencat e institucioneve qendrore e vendore publike si dhe organizatave, që ushtrojnë veprimtari në fushën e rinisë;</w:t>
      </w:r>
    </w:p>
    <w:p w:rsidR="004535B5" w:rsidRPr="00DF6EAC" w:rsidRDefault="004535B5" w:rsidP="004535B5">
      <w:pPr>
        <w:pStyle w:val="ListParagraph"/>
        <w:numPr>
          <w:ilvl w:val="0"/>
          <w:numId w:val="26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të krijojë kushtet e nevojshme për aktivizimin, pjesëmarrjen dhe mbështetjen e të rinjve për përmbushjen e potencialit të tyre në interes të shoqërisë.</w:t>
      </w:r>
    </w:p>
    <w:p w:rsidR="00413E5A" w:rsidRPr="00DF6EAC" w:rsidRDefault="00413E5A" w:rsidP="00413E5A">
      <w:pPr>
        <w:pStyle w:val="NormalWeb"/>
        <w:spacing w:line="276" w:lineRule="auto"/>
        <w:jc w:val="both"/>
        <w:rPr>
          <w:color w:val="000000"/>
          <w:sz w:val="28"/>
          <w:szCs w:val="28"/>
        </w:rPr>
      </w:pPr>
      <w:r w:rsidRPr="00DF6EAC">
        <w:rPr>
          <w:b/>
          <w:sz w:val="28"/>
          <w:szCs w:val="28"/>
        </w:rPr>
        <w:t>Në nenin 2</w:t>
      </w:r>
      <w:r w:rsidRPr="00DF6EAC">
        <w:rPr>
          <w:sz w:val="28"/>
          <w:szCs w:val="28"/>
        </w:rPr>
        <w:t xml:space="preserve"> të projektligjit, </w:t>
      </w:r>
      <w:r w:rsidR="004535B5" w:rsidRPr="00DF6EAC">
        <w:rPr>
          <w:sz w:val="28"/>
          <w:szCs w:val="28"/>
        </w:rPr>
        <w:t>parashikohet fusha e zbatimit, e cila propozohet t</w:t>
      </w:r>
      <w:r w:rsidR="00127318" w:rsidRPr="00DF6EAC">
        <w:rPr>
          <w:sz w:val="28"/>
          <w:szCs w:val="28"/>
        </w:rPr>
        <w:t>ë</w:t>
      </w:r>
      <w:r w:rsidR="004535B5" w:rsidRPr="00DF6EAC">
        <w:rPr>
          <w:sz w:val="28"/>
          <w:szCs w:val="28"/>
        </w:rPr>
        <w:t xml:space="preserve"> p</w:t>
      </w:r>
      <w:r w:rsidR="00127318" w:rsidRPr="00DF6EAC">
        <w:rPr>
          <w:sz w:val="28"/>
          <w:szCs w:val="28"/>
        </w:rPr>
        <w:t>ë</w:t>
      </w:r>
      <w:r w:rsidR="004535B5" w:rsidRPr="00DF6EAC">
        <w:rPr>
          <w:sz w:val="28"/>
          <w:szCs w:val="28"/>
        </w:rPr>
        <w:t>rfshij</w:t>
      </w:r>
      <w:r w:rsidR="00127318" w:rsidRPr="00DF6EAC">
        <w:rPr>
          <w:sz w:val="28"/>
          <w:szCs w:val="28"/>
        </w:rPr>
        <w:t>ë</w:t>
      </w:r>
      <w:r w:rsidR="004535B5" w:rsidRPr="00DF6EAC">
        <w:rPr>
          <w:sz w:val="28"/>
          <w:szCs w:val="28"/>
        </w:rPr>
        <w:t xml:space="preserve"> të rinjtë me shtetësi shqiptare, brenda ose jashtë territorit të Republikës së Shqipërisë, të rinjtë pa shtetësi ose me shtetësi të huaj</w:t>
      </w:r>
      <w:r w:rsidRPr="00DF6EAC">
        <w:rPr>
          <w:color w:val="000000"/>
          <w:sz w:val="28"/>
          <w:szCs w:val="28"/>
        </w:rPr>
        <w:t>.</w:t>
      </w:r>
    </w:p>
    <w:p w:rsidR="004535B5" w:rsidRPr="00DF6EAC" w:rsidRDefault="00413E5A" w:rsidP="001C24EA">
      <w:pPr>
        <w:spacing w:after="0"/>
        <w:rPr>
          <w:rFonts w:ascii="Times New Roman" w:hAnsi="Times New Roman"/>
          <w:sz w:val="28"/>
          <w:szCs w:val="28"/>
          <w:lang w:val="sq-AL"/>
        </w:rPr>
      </w:pPr>
      <w:bookmarkStart w:id="0" w:name="_GoBack"/>
      <w:bookmarkEnd w:id="0"/>
      <w:r w:rsidRPr="00DF6EAC">
        <w:rPr>
          <w:rFonts w:ascii="Times New Roman" w:hAnsi="Times New Roman"/>
          <w:b/>
          <w:sz w:val="28"/>
          <w:szCs w:val="28"/>
          <w:lang w:val="sq-AL"/>
        </w:rPr>
        <w:t>Në nenin 3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jepen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rkufizimet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r disa terma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rdorura duke propozuar dhe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rkufizimin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r termin “i ri/e re”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Në këtë projektligj, termat e mëposhtme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ken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këto kuptime: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1. “Dialog i strukturuar” është një dialog i hapur, transparent, afatgjatë, i vazhdueshëm dhe sistematik mes të rinjve dhe organizatave rinore dhe institucioneve në nivel qendror e lokal që mbulojnë çështje të lidhura me të rinjtë; 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2. “Edukimi jo-formal për të rinjtë” është çdo veprimtari e organizuar dhe përshtatur për të rinjtë jashtë sistemit formal të arsimimit, i bazuar në nevojat dhe interesat e të rinjve, parimet e vullnetarizmit dhe pjesëmarrjes aktive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 në proceset e të nxënit nëpërmjet të cilit fitojnë kompetenca të nevojshme për zhvillimin e potencialit personal, pjesëmarrje aktive në shoqëri dhe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akses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në tregun e punës;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3. “Hapësira rinore të sigurta” është standardi që duhet përmbushur në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hapësirat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ku të rinjtë mblidhen, angazhohen në veprimtari që i përshtaten nevojave të tyre të shumëllojshme, marrin pjesë në procese vendimmarrëse dhe shprehen lirshëm. </w:t>
      </w: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>Hapësirat rinore të sigurta përfshijnë hapësirat qytetare që i japin mundësi të rinjve të angazhohen në çështjet e qeverisjes; hapësirat publike që i japin mundësi të rinjve të marrin pjesë në veprimtari sportive, kulturore e argëtuese në komunitet; hapësirat digjitale që i ndihmojnë të rinjtë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ndërveprojnë</w:t>
      </w:r>
      <w:proofErr w:type="spellEnd"/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virtualisht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me të rinj të tjerë brenda e jashtë vendit; dhe hapësira fizike të projektuara dhe planifikuara për të plotësuar nevojat e shumëllojshme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 në përgjithësi e sidomos të atyre nga grupet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vulnerabël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ose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margjinalizuar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;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4. “Infrastrukturë rinore” është një hapësirë fizike, tokë, ndërtesë apo pjesë ndërtesë e projektuar dhe planifikuar veçanërisht për të rinjtë dhe veprimtari rinore;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5. “Politikë rinore” janë veprimtaritë e qëllimshme dhe të qëndrueshme të ndërmarra nga ana e pushtetit qendror e vendor, organizatat rinore dhe shoqëria, që synojnë krijimin e kushteve të favorshme për zhvillimin personal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 dhe për pjesëmarrjen e tyre në jetën publike, sociale, ekonomike dhe kulturore, në nivel lokal dhe kombëtar nëpërmjet veprimtarive që inkurajojnë zhvillimin e të rinjve në vend.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6. “Punonjës rinor” është një i rritur që ka kryer trajnime të veçanta dhe/ose ka eksperiencë profesionale për të punuar me të rinjtë dhe zbatuar veprimtari rinore.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7. “Subjekte të politikave rinore” janë organet, institucionet dhe strukturat, në nivel qendror e vendor, që brenda fushës së vet të veprimtarisë ushtrojnë përgjegjësi që prekin të rinjtë e hartojnë politika rinore si dhe aktorë të tjerë që marrin pjesë në procesin e hartimit e zbatimit të politikave rinore;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8. “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Subsidiaritet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” është parimi i kryerjes së funksioneve dhe ushtrimit të kompetencave në një nivel qeverisjeje sa më pranë të rinjve.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9. “Të rinj” janë persona në moshën 15 vjeç deri në 29 vjeç;</w:t>
      </w:r>
    </w:p>
    <w:p w:rsidR="004535B5" w:rsidRPr="00DF6EAC" w:rsidRDefault="004535B5" w:rsidP="00413E5A">
      <w:pPr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Pr="00DF6EAC" w:rsidRDefault="00413E5A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4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 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parashtrohen parimet kryesore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mb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shtetjes dhe fuqizimit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4535B5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proofErr w:type="spellEnd"/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 rinjve duke parashikuar k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>to parime:</w:t>
      </w:r>
    </w:p>
    <w:p w:rsidR="004535B5" w:rsidRPr="00DF6EAC" w:rsidRDefault="004535B5" w:rsidP="004535B5">
      <w:pPr>
        <w:pStyle w:val="ListParagraph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promovimin e të drejtave dhe mbështetjes me qëllim fuqizimin e të rinjve;</w:t>
      </w:r>
    </w:p>
    <w:p w:rsidR="004535B5" w:rsidRPr="00DF6EAC" w:rsidRDefault="004535B5" w:rsidP="004535B5">
      <w:pPr>
        <w:pStyle w:val="ListParagraph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legjitimitetin, barazinë në të drejta e mundësi dhe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mosdiskriminimin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;</w:t>
      </w:r>
    </w:p>
    <w:p w:rsidR="004535B5" w:rsidRPr="00DF6EAC" w:rsidRDefault="004535B5" w:rsidP="004535B5">
      <w:pPr>
        <w:pStyle w:val="ListParagraph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koordinimin e politikave rinore me politikat në fushën e arsimit, kërkimit shkencor, politikave financiare, punësimit, vullnetarizmit, mbrojtjes e përfshirjes sociale, shëndetësisë, kulturës, sportit, mjedisit, turizmit, drejtësisë, punëve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të brendshme e të jashtme, integrimit dhe të mbrojtjes; </w:t>
      </w:r>
    </w:p>
    <w:p w:rsidR="004535B5" w:rsidRPr="00DF6EAC" w:rsidRDefault="004535B5" w:rsidP="004535B5">
      <w:pPr>
        <w:pStyle w:val="ListParagraph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harmonizimin e politikave rinore me politikat e zbatuara nga Bashkimi Evropian, Këshilli i Evropës, Organizata e Kombeve të Bashkuara dhe institucione të tjera ndërkombëtare;</w:t>
      </w:r>
    </w:p>
    <w:p w:rsidR="004535B5" w:rsidRPr="00DF6EAC" w:rsidRDefault="004535B5" w:rsidP="004535B5">
      <w:pPr>
        <w:pStyle w:val="ListParagraph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 xml:space="preserve">garantimin e pjesëmarrjes së të rinjve në proceset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politikëbërëse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dhe vendimmarrëse;</w:t>
      </w:r>
    </w:p>
    <w:p w:rsidR="004535B5" w:rsidRPr="00DF6EAC" w:rsidRDefault="004535B5" w:rsidP="004535B5">
      <w:pPr>
        <w:pStyle w:val="ListParagraph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lirinë e organizimit,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iniciativave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rinore dhe të vetë-qeverisjes së organizatave;</w:t>
      </w:r>
    </w:p>
    <w:p w:rsidR="004535B5" w:rsidRPr="00DF6EAC" w:rsidRDefault="004535B5" w:rsidP="004535B5">
      <w:pPr>
        <w:pStyle w:val="ListParagraph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subsidiaritetin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4535B5" w:rsidRPr="00DF6EAC" w:rsidRDefault="004535B5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413E5A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5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, propozohet të </w:t>
      </w:r>
      <w:r w:rsidR="004535B5" w:rsidRPr="00DF6EAC">
        <w:rPr>
          <w:rFonts w:ascii="Times New Roman" w:hAnsi="Times New Roman"/>
          <w:sz w:val="28"/>
          <w:szCs w:val="28"/>
          <w:lang w:val="sq-AL"/>
        </w:rPr>
        <w:t xml:space="preserve">prezantohet koncepti i rrjetit rinor. Rrjeti rinor përbëhet nga institucionet dhe strukturat, në nivel qendror e vendor, që brenda fushës së vet të veprimtarisë ushtrojnë përgjegjësi në fushën e të drejtave e mbrojtjes së të rinjve, organizatat rinore dhe të rinjtë individë, që veprojnë në nivel qendror dhe vendor. Roli i këtyre aktorëve përcaktohet nga ky projektligj, aktet e tij nënligjore dhe legjislacioni tjetër në fuqi që normon çështje të caktuara që lidhen me të rinjtë. </w:t>
      </w:r>
    </w:p>
    <w:p w:rsidR="004535B5" w:rsidRPr="00DF6EAC" w:rsidRDefault="004535B5" w:rsidP="004535B5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413E5A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6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parashikohen kompetencat e ministris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rgjegj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se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r rinin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e cila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ket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kompetencat e m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poshtme: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color w:val="000000"/>
          <w:sz w:val="24"/>
          <w:szCs w:val="24"/>
          <w:lang w:val="sq-AL"/>
        </w:rPr>
        <w:t>a</w:t>
      </w:r>
      <w:r w:rsidRPr="00DF6EAC">
        <w:rPr>
          <w:rFonts w:ascii="Times New Roman" w:hAnsi="Times New Roman"/>
          <w:sz w:val="28"/>
          <w:szCs w:val="28"/>
          <w:lang w:val="sq-AL"/>
        </w:rPr>
        <w:t>) harton e propozon politikat dhe veprimtaritë për rininë;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b) planifikon buxhetin për realizimin e veprimtarive në fushën e rinisë;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c) vlerëson e monitoron zbatimin e politikave dhe veprimtarive;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c) koordinon bashkëpunimin me institucione të tjera qendrore, vendore dhe organizatat, të cilat janë përgjegjëse për aspekte të veçanta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ç) monitoron situatën e të rinjve dhe ndikimin e politikave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rinore;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d) konfirmon standardet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për ndërtimin e hapësirave të sigurta për të rinjtë;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dh) përfaqëson Republikën e Shqipërisë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në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nivelet dhe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organizmat ndërkombëtare për çështjet e rinisë;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e) përmbush detyrimet e anëtarësimit dhe bashkërendon pjesëmarrjen në programe e projekte ndërkombëtare;</w:t>
      </w:r>
    </w:p>
    <w:p w:rsidR="007B181B" w:rsidRPr="00DF6EAC" w:rsidRDefault="007B181B" w:rsidP="007B18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ë) bashkëpunon me njësitë e vetëqeverisjes vendore për politikat, projektet e programet në fushën e rinisë;</w:t>
      </w:r>
    </w:p>
    <w:p w:rsidR="00DF6EAC" w:rsidRDefault="00DF6EAC" w:rsidP="00413E5A">
      <w:pPr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7B181B" w:rsidRPr="00DF6EAC" w:rsidRDefault="00413E5A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7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 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parashikohen kompetencat e institucioneve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tjera qendrore, përgjegjëse për çështjet e arsimit, kërkimit shkencor, politikave financiare, punësimit, vullnetarizmit, mbrojtjes e përfshirjes sociale, shëndetësisë, kulturës, sportit, mjedisit, turizmit, drejtësisë, punëve të brendshme e të jashtme, integrimit dhe të mbrojtjes,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sipas fushës së përgjegjësisë shtetërore propozohet se duhet:</w:t>
      </w:r>
    </w:p>
    <w:p w:rsidR="007B181B" w:rsidRPr="00DF6EAC" w:rsidRDefault="007B181B" w:rsidP="007B181B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a) të sigurojnë realizimin në mënyrë efektive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drejtave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rinjve;</w:t>
      </w:r>
    </w:p>
    <w:p w:rsidR="007B181B" w:rsidRPr="00DF6EAC" w:rsidRDefault="007B181B" w:rsidP="007B181B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b) të mbështesin politikat rinore;</w:t>
      </w:r>
    </w:p>
    <w:p w:rsidR="007B181B" w:rsidRPr="00DF6EAC" w:rsidRDefault="007B181B" w:rsidP="007B181B">
      <w:pPr>
        <w:pStyle w:val="ListParagraph"/>
        <w:spacing w:after="0"/>
        <w:ind w:left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>c) të garantojnë të drejtën e të rinjve për mbrojtje të veçantë nga shteti në procesin e hartimit të politikave sektoriale si dhe të planifikojnë fonde që ndikojnë në përmirësimin e cilësisë së jetës së të rinjve.</w:t>
      </w:r>
    </w:p>
    <w:p w:rsidR="007B181B" w:rsidRPr="00DF6EAC" w:rsidRDefault="007B181B" w:rsidP="00413E5A">
      <w:pPr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Pr="00DF6EAC" w:rsidRDefault="00413E5A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8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parashikohen kompetencat e nj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sive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vet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qeverisjes qendrore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rputhje me funksionet e tyre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hartojn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dhe zbatojn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politikat 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fush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n e rinis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. 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veçanti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r bashkit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propozohet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rputhje me misionin e tyre, duhet: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a) të hartojnë plane vendore duke përcaktuar objektivat dhe prioritetet e politikave rinore vendore në përputhje me dokumentet politikë në fushën e rinisë dhe të garantojë zbatimin e tyre;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b) të krijojnë këshillin rinor vendor;  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c) të organizojnë dhe koordinojnë veprimtari që synojnë arritjen e objektivave vendore në fushën mbrojtjes dhe fuqizimit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rinjve;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ç) të zgjedhin shërbime informimi dhe këshillimi për të mbështetur mirëqenien dhe zhvillimin e të rinjve dhe realizojnë ato në mënyrë të përshtatshme me nevojat e tyre;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d) të përmirësojnë mundësitë kolektive të komunitetit për të angazhuar dhe mbështetur të rinjtë;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dh) të inkurajojnë vullnetarizmin e të rinjve dhe edukimin jo-formal për të zgjeruar njohuritë, eksperiencën e aftësitë e të rinjve për të përvetësuar vlerat e shoqërisë civile, jetesës së shëndetshme, kulturës, artit, sportit, sipërmarrjes,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inovacionit,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mbrojtjes së mjedisit, sigurisë e parandalimit të trafikimit dhe krimit;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e) të garantojnë pjesëmarrjen e të rinjve në vendimmarrje nëpërmjet ndërtimit e mbajtjes së një dialogu të strukturuar; 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ë) të mbështesin krijimin dhe zhvillimin e infrastrukturës rinore dhe hapësira të sigurta;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f) të krijojnë struktura administrative për çështjet e rinisë;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g) të miratojnë fonde nga të ardhurat vendore ose nga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transferta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e pakushtëzuar, për zhvillimin e projekteve, programeve e veprimtarive rinore;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gj) të mbledhin, analizojnë, publikojnë e përditësojnë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të dhëna periodike, në lidhje me situatën e të rinjve në territorin e tyre, aktivitetet e zbatuara dhe planifikuara;</w:t>
      </w:r>
    </w:p>
    <w:p w:rsidR="007B181B" w:rsidRPr="00DF6EAC" w:rsidRDefault="007B181B" w:rsidP="007B181B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sq-AL"/>
        </w:rPr>
      </w:pPr>
    </w:p>
    <w:p w:rsidR="007B181B" w:rsidRPr="00DF6EAC" w:rsidRDefault="007B181B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Njësitë e vetëqeverisjes vendore 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mund të krijojnë persona juridikë në përputhje me Kodin Civil dhe ligjin për organizatat jofitimprurëse dhe të aplikojnë për t’u mbështetur nga programet kombëtare dhe ndërkombëtare për rininë.</w:t>
      </w:r>
    </w:p>
    <w:p w:rsidR="007B181B" w:rsidRPr="00DF6EAC" w:rsidRDefault="00413E5A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lastRenderedPageBreak/>
        <w:t>Në nenin 9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parashikohet forma dhe funksionet e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Autoritetit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Komb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tar Rinor, dhe </w:t>
      </w:r>
      <w:r w:rsidRPr="00DF6EAC">
        <w:rPr>
          <w:rFonts w:ascii="Times New Roman" w:hAnsi="Times New Roman"/>
          <w:sz w:val="28"/>
          <w:szCs w:val="28"/>
          <w:lang w:val="sq-AL"/>
        </w:rPr>
        <w:t>propozohet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Autoriteti Kombëtare Rinor 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jet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7B181B" w:rsidRPr="00DF6EAC">
        <w:rPr>
          <w:rFonts w:ascii="Times New Roman" w:hAnsi="Times New Roman"/>
          <w:sz w:val="28"/>
          <w:szCs w:val="28"/>
          <w:lang w:val="sq-AL"/>
        </w:rPr>
        <w:t xml:space="preserve"> person juridik publik buxhetor, në varësi të ministrit përgjegjës për rininë, që financohet nga buxheti i shtetit dhe burime të tjera të ligjshme dhe ushtron veprimtarinë në të gjithë territorin.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Autoriteti Kombëtare Rinor 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krye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j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këto funksione:</w:t>
      </w:r>
    </w:p>
    <w:p w:rsidR="007B181B" w:rsidRPr="00DF6EAC" w:rsidRDefault="007B181B" w:rsidP="007B181B">
      <w:pPr>
        <w:spacing w:after="0"/>
        <w:ind w:left="568" w:hanging="284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a) zbaton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politikat dhe programet për të rinjtë;</w:t>
      </w:r>
    </w:p>
    <w:p w:rsidR="007B181B" w:rsidRPr="00DF6EAC" w:rsidRDefault="007B181B" w:rsidP="007B181B">
      <w:pPr>
        <w:spacing w:after="0"/>
        <w:ind w:left="568" w:hanging="284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b)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organizon, administron, financon, koordinon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dhe monitoron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programet dhe projektet rinore;</w:t>
      </w:r>
    </w:p>
    <w:p w:rsidR="007B181B" w:rsidRPr="00DF6EAC" w:rsidRDefault="007B181B" w:rsidP="007B181B">
      <w:pPr>
        <w:spacing w:after="0"/>
        <w:ind w:left="568" w:hanging="284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c) bashkëpunon me organizma, institucione, donatorë dhe subjekte të tjerë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vendas e të huaj, për prezantimin dhe zbatimin e politikave, programeve e veprimtarive për rininë;</w:t>
      </w:r>
    </w:p>
    <w:p w:rsidR="007B181B" w:rsidRPr="00DF6EAC" w:rsidRDefault="007B181B" w:rsidP="007B181B">
      <w:pPr>
        <w:spacing w:after="0"/>
        <w:ind w:left="568" w:hanging="284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ç) mbështet ngritjen e kapaciteteve të njësive dhe strukturave në nivel qendror dhe vendor;</w:t>
      </w:r>
    </w:p>
    <w:p w:rsidR="007B181B" w:rsidRPr="00DF6EAC" w:rsidRDefault="007B181B" w:rsidP="007B181B">
      <w:pPr>
        <w:spacing w:after="0"/>
        <w:ind w:left="568" w:hanging="284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d) krijon dhe mirëmban bazën e të dhënave për rininë;</w:t>
      </w:r>
    </w:p>
    <w:p w:rsidR="007B181B" w:rsidRPr="00DF6EAC" w:rsidRDefault="007B181B" w:rsidP="007B181B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7B181B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Mënyra e organizimit dhe funksionimit të Autoritetit Kombëtar Rinor 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miratohet me vendim të Këshillit të Ministrave.</w:t>
      </w:r>
    </w:p>
    <w:p w:rsidR="00DC4BAE" w:rsidRPr="00DF6EAC" w:rsidRDefault="00DC4BAE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C4BAE" w:rsidRPr="00DF6EAC" w:rsidRDefault="00413E5A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10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të projektligjit, propozohet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ngritja e K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shillit Komb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tar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Rinis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. Këshilli Kombëtari Rinisë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jet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organ këshillimor që krijohet dhe funksionon pranë Ministrit përgjegjës për çështjet e rinisë, që merr pjesë në hartimin dhe zhvillimin e politikave dhe veprimtarive në fushën e rinisë. </w:t>
      </w:r>
    </w:p>
    <w:p w:rsidR="00DC4BAE" w:rsidRPr="00DF6EAC" w:rsidRDefault="00DC4BAE" w:rsidP="00DC4BA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p w:rsidR="00DC4BAE" w:rsidRPr="00DF6EAC" w:rsidRDefault="00DC4BAE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Këshilli Kombëtar i Rinisë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kryesohet nga Ministri përgjegjës për çështjet e rinisë dhe përbëhet nga 14 anëtarë të tjerë, nga të cilët 4anëtarë përfaqësues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ministrive të linjës, 2përfaqësues nga njësitë e vetëqeverisjes vendore, 4 përfaqësues nga këshillat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vendore të rinisë dhe 4përfaqësues nga organizatat rinore.</w:t>
      </w:r>
    </w:p>
    <w:p w:rsidR="00DC4BAE" w:rsidRPr="00DF6EAC" w:rsidRDefault="00DC4BAE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DC4BAE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përbërja, mënyra e përzgjedhjes së anëtarëve, organizimi dhe funksionimi i Këshillit Kombëtar të Rinisë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përcaktohen me vendim të Këshillit të Ministrave. </w:t>
      </w:r>
    </w:p>
    <w:p w:rsidR="00DC4BAE" w:rsidRPr="00DF6EAC" w:rsidRDefault="00DC4BAE" w:rsidP="00DC4BAE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</w:p>
    <w:p w:rsidR="00DC4BAE" w:rsidRPr="00DF6EAC" w:rsidRDefault="00413E5A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11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propozohet ngritja e K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>shillit Vendor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Rinis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Këshilli Vendor i Rinisë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jet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organ këshillimor që krijohet dhe funksionon pranë Kryetarit të Bashkisë me qëllim konsultimin e planeve vendore, monitorimin e planeve e politikave rinore në nivel vendor dhe propozimin e nismave që i përshtaten nevojave të </w:t>
      </w:r>
      <w:proofErr w:type="spellStart"/>
      <w:r w:rsidR="00DC4BAE"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="00DC4BAE" w:rsidRPr="00DF6EAC">
        <w:rPr>
          <w:rFonts w:ascii="Times New Roman" w:hAnsi="Times New Roman"/>
          <w:sz w:val="28"/>
          <w:szCs w:val="28"/>
          <w:lang w:val="sq-AL"/>
        </w:rPr>
        <w:t xml:space="preserve"> rinjve në territorin ku ato veprojnë. </w:t>
      </w:r>
    </w:p>
    <w:p w:rsidR="00DC4BAE" w:rsidRPr="00DF6EAC" w:rsidRDefault="00DC4BAE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C4BAE" w:rsidRPr="00DF6EAC" w:rsidRDefault="00DC4BAE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Këshilli Vendor i Rinisë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kryesohet nga Kryetari i Bashkisë dhe përbëhet nga të paktën 4 anëtarë të tjerë për bashkitë e vogla, me përfaqësi të barabartë nga strukturat rinore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publike e jopublike që veprojnë në nivel vendor. Kriteret dhe procedurat e përzgjedhjes së anëtarëve të Këshillit Rinor Vendor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miratohen me vendim të Këshillit Bashkiak referuar kritereve dhe procedurave të miratuara nga Këshillit të Ministrave për Këshillin Kombëtar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Rinisë. </w:t>
      </w:r>
    </w:p>
    <w:p w:rsidR="00DC4BAE" w:rsidRPr="00DF6EAC" w:rsidRDefault="00DC4BAE" w:rsidP="00DC4BAE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DC4BAE" w:rsidP="00DC4BAE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Këshilli Vendor i Rinisë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krijohet me vendim të Kryetarit të Bashkisë dhe funksionoj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sipas rregullores së miratuar prej tij.</w:t>
      </w:r>
    </w:p>
    <w:p w:rsidR="00671579" w:rsidRPr="00DF6EAC" w:rsidRDefault="00413E5A" w:rsidP="00671579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12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propozohet 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forma dhe kriteret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r organizatat rinore. Organizatat rinore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 xml:space="preserve"> jenë persona juridikë, që krijohen, riorganizohen apo transformohen dhe funksionojnë në bazë të Kodit Civil të Republikës së Shqipërisë dhe legjislacionit për organizatat jofitimprurëse. 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 xml:space="preserve"> një organizatë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 xml:space="preserve"> konsiderohet si organizatë rinore në kuptim të këtij projektligji nëse ka në statut, si objekt të vetëm të veprimtarisë, aktivitete dhe veprimtari rinore dhe ku 100 % e anëtarëve janë të rinj. Zhvillimi i organizatave rinore parashikohet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 xml:space="preserve"> inkurajohet dhe mbështetet nga programet e projektet vendore, kombëtare dhe ndërkombëtare. Regjistrimi si organizatë rinore në bazën e të dhënave për rininë, sipas nenit 19 të këtij projektligji, bëhet me kërkesë të organizatës.</w:t>
      </w:r>
    </w:p>
    <w:p w:rsidR="00671579" w:rsidRPr="00DF6EAC" w:rsidRDefault="00671579" w:rsidP="00671579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Organizatat rinore,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mund të përfitojnë financime dhe nga organet e pushtetit qendror ose vendor, në zbatim të dispozitave të legjislacionit shqiptar në fuqi, nëpërmjet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granteve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,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transfertave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të pakushtëzuara, si dhe nga burime të tjera të ligjshme. Asnjë organizatë tjetër që ka në objektin e veprimtarisë edhe aktivitete dhe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veprimtari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tjera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përveç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atyre për të rinjtë nuk mund të financohet nga shteti, në kuadër të zbatimit të këtij projektligji.</w:t>
      </w:r>
    </w:p>
    <w:p w:rsidR="00671579" w:rsidRPr="00DF6EAC" w:rsidRDefault="00671579" w:rsidP="00671579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3768" w:rsidRPr="00DF6EAC" w:rsidRDefault="00413E5A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13</w:t>
      </w:r>
      <w:r w:rsidRPr="00DF6EAC">
        <w:rPr>
          <w:rFonts w:ascii="Times New Roman" w:hAnsi="Times New Roman"/>
          <w:b/>
          <w:i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të projektligjit, 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propozohet forma dhe kriteret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r Organizat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n Komb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tare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rfaq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>suese Rinore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  <w:r w:rsidR="00671579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Organizata Kombëtare Përfaqësuese Rinore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jet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një organizatë që themelohet, organizohet dhe funksionon në zbatim të Kodit Civil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Republikës së Shqipërisë dhe legjislacionit për organizatat jofitimprurëse dhe e ushtron veprimtarinë në përputhje me statutin e miratuar përpara kërkesës për regjistrim, nga ministri përgjegjës për rininë. Nëse ministri përgjegjës nuk e miraton paraprakisht statutin brenda 60 ditëve nga data e depozitimit, statuti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konsiderohet i miratuar në heshtje.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 xml:space="preserve">Të drejtën për të themeluar Organizatën Kombëtare Përfaqësuese Rinore 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sht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propozuar ta kenë jo më pak se 1000 anëtarë dhe të paktën 30 organizata rinore, që 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bashku ushtrojnë veprimtarinë në një territor prej të paktën 70% të bashkive të vendit. Organizatat rinore themeluese dhe anëtare, pranojnë qëllimin, fushën e veprimtarisë dhe përcaktimet e tjera të kësaj organizate të rregulluara në statutin e saj. 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sht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propozuar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Ministria përgjegjëse për rininë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njoh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vetëm një Organizatë Kombëtare Përfaqësuese Rinore, pranë së cilës shtohen anëtarë të rinj në çdo kohë, në përputhje me rregullat dhe statutin e miratuar. Njohja e një organizate si Organizatë Kombëtare Përfaqësuese Rinore 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sht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propozuar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bëhet me urdhër të ministrit përgjegjës për çështjet e rinisë, në bazë të kërkesës të vetë organizatës dhe është e vlefshme për 4 vjet kalendarike nga dita e njohjes.</w:t>
      </w:r>
    </w:p>
    <w:p w:rsidR="00413E5A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Organizata Kombëtare Përfaqësuese Rinore,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financohet nga kontributi i organizatave rinore themeluese dhe anëtarët individë, nga organet e pushtetit qendror ose vendor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mbi bazë projektesh, si dhe nga burime të tjera të ligjshme.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3768" w:rsidRPr="00DF6EAC" w:rsidRDefault="00413E5A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Neni 14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i projektligjit, pr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ezanton nj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koncept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r pun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n rinore duke propozuar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që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punë rinore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konsiderohet çdo veprimtari e natyrës sociale, kulturore, arsimore, mjedisore nga/me ose për të rinjtë, në grupe ose individualisht, që ka për qëllim të motivojë dhe mbështesë të rinjtë që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identifikojnë e ndjekin rrugë të përshtatshme në jetë duke kontribuar në zhvillimin e tyre personal dhe social, dhe në zhvillimin e shoqërisë në përgjithësi. Puna rinore realizohet nëpërmjet angazhimit dhe fuqizimit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9D3768"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rinjve në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krijimtari aktive, përgatitjen, ofrimin dhe vlerësimin e iniciativave dhe veprimtarive që reflektojnë nevojat, interesat, idetë dhe eksperiencat e tyre. Nëpërmjet këtij procesit të </w:t>
      </w:r>
      <w:proofErr w:type="spellStart"/>
      <w:r w:rsidR="009D3768"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nxënit jo formal dhe </w:t>
      </w:r>
      <w:proofErr w:type="spellStart"/>
      <w:r w:rsidR="009D3768" w:rsidRPr="00DF6EAC">
        <w:rPr>
          <w:rFonts w:ascii="Times New Roman" w:hAnsi="Times New Roman"/>
          <w:sz w:val="28"/>
          <w:szCs w:val="28"/>
          <w:lang w:val="sq-AL"/>
        </w:rPr>
        <w:t>informal</w:t>
      </w:r>
      <w:proofErr w:type="spellEnd"/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të rinjtë fitojnë njohuri, aftësi, vlera dhe qëndrime, që i nevojiten për të qenë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9D3768" w:rsidRPr="00DF6EAC">
        <w:rPr>
          <w:rFonts w:ascii="Times New Roman" w:hAnsi="Times New Roman"/>
          <w:sz w:val="28"/>
          <w:szCs w:val="28"/>
          <w:lang w:val="sq-AL"/>
        </w:rPr>
        <w:t>sigurtë</w:t>
      </w:r>
      <w:proofErr w:type="spellEnd"/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në të ardhmen. 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puna rinore të jet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e bazuar në qasjen individuale dhe vlerësimin e nevojave të veçanta të </w:t>
      </w:r>
      <w:proofErr w:type="spellStart"/>
      <w:r w:rsidR="009D3768"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rinjve.</w:t>
      </w:r>
    </w:p>
    <w:p w:rsidR="009D3768" w:rsidRPr="00DF6EAC" w:rsidRDefault="009D3768" w:rsidP="00413E5A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3768" w:rsidRPr="00DF6EAC" w:rsidRDefault="00413E5A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15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propozohet të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rregullohet pozita e punonj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sit rinor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jet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personi që ofron shërbime këshillimi, informimi, mbështetje dhe udhëzime për të rinjtë, duke i ndihmuar ata të përdorin maksimalisht aftësitë dhe mundësitë e tyre në drejtim të zhvillimit të mëtejshëm personal, emocional, social dhe ekonomik. Puna e punonjë</w:t>
      </w:r>
      <w:r w:rsidR="00DF6EAC">
        <w:rPr>
          <w:rFonts w:ascii="Times New Roman" w:hAnsi="Times New Roman"/>
          <w:sz w:val="28"/>
          <w:szCs w:val="28"/>
          <w:lang w:val="sq-AL"/>
        </w:rPr>
        <w:t>s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ve rinorë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përfshij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çdo veprimtari në mbështetje të </w:t>
      </w:r>
      <w:proofErr w:type="spellStart"/>
      <w:r w:rsidR="009D3768" w:rsidRPr="00DF6EAC">
        <w:rPr>
          <w:rFonts w:ascii="Times New Roman" w:hAnsi="Times New Roman"/>
          <w:sz w:val="28"/>
          <w:szCs w:val="28"/>
          <w:lang w:val="sq-AL"/>
        </w:rPr>
        <w:t>të</w:t>
      </w:r>
      <w:proofErr w:type="spellEnd"/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rinjve përfshirë planifikimin dhe menaxhimin e veprimtarive </w:t>
      </w:r>
      <w:proofErr w:type="spellStart"/>
      <w:r w:rsidR="009D3768" w:rsidRPr="00DF6EAC">
        <w:rPr>
          <w:rFonts w:ascii="Times New Roman" w:hAnsi="Times New Roman"/>
          <w:sz w:val="28"/>
          <w:szCs w:val="28"/>
          <w:lang w:val="sq-AL"/>
        </w:rPr>
        <w:t>komunitare</w:t>
      </w:r>
      <w:proofErr w:type="spellEnd"/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, edukative dhe këshillime për të rinj me probleme familjare, shëndetësore, sociale, ekonomike e probleme me ligjin. 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>Punonjësit rinorë e ushtrojnë veprimtarinë e tyre pranë institucioneve publike, jo-publike, organizatave rinore dhe strukturave të tjera që ushtrojnë veprimtari në fushën e rinisë.</w:t>
      </w:r>
    </w:p>
    <w:p w:rsidR="00413E5A" w:rsidRPr="00DF6EAC" w:rsidRDefault="00413E5A" w:rsidP="009D3768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3768" w:rsidRPr="00DF6EAC" w:rsidRDefault="00413E5A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16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propozohet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 lidhje me burimet e financimit për realizimin e politikave, programeve dhe veprimtarive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rinore,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r fondet nga: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a) buxheti i shtetit;</w:t>
      </w:r>
      <w:r w:rsidRPr="00DF6EAC">
        <w:rPr>
          <w:rFonts w:ascii="Times New Roman" w:hAnsi="Times New Roman"/>
          <w:sz w:val="28"/>
          <w:szCs w:val="28"/>
          <w:lang w:val="sq-AL"/>
        </w:rPr>
        <w:tab/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b) buxhetet vendore;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c) të ardhura të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gjeneruara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nga organizatat rinore;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ç) donacionet;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d)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sponsorizimet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;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dh) burime të tjera të ligjshme.</w:t>
      </w:r>
    </w:p>
    <w:p w:rsidR="009D3768" w:rsidRPr="00DF6EAC" w:rsidRDefault="009D3768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Fondet e buxhetit të shtetit për rininë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përcaktohen në buxhetin vjetor të shtetit, për ministrinë përgjegjëse për rininë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nd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rsa p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ërdorimi 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i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fondeve publike nga Buxheti i Shtetit për institucionet dhe organizatat rinore, 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bëhet në përputhje me kushtet dhe qëllimet e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grantit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të akorduar.</w:t>
      </w:r>
    </w:p>
    <w:p w:rsidR="009D698F" w:rsidRPr="00DF6EAC" w:rsidRDefault="009D698F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3768" w:rsidRPr="00DF6EAC" w:rsidRDefault="009D698F" w:rsidP="009D376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ë gjitha të ardhurat e krijuara nga autoriteti kombëtar rinor dhe organizatat rinore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administrohen dhe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 xml:space="preserve">përdoren 100% prej tyre dhe pjesa e papërdorur e të ardhurave </w:t>
      </w:r>
      <w:r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3768" w:rsidRPr="00DF6EAC">
        <w:rPr>
          <w:rFonts w:ascii="Times New Roman" w:hAnsi="Times New Roman"/>
          <w:sz w:val="28"/>
          <w:szCs w:val="28"/>
          <w:lang w:val="sq-AL"/>
        </w:rPr>
        <w:t>mbartet në vitin pasardhës.</w:t>
      </w:r>
    </w:p>
    <w:p w:rsidR="009D3768" w:rsidRPr="00DF6EAC" w:rsidRDefault="009D3768" w:rsidP="00413E5A">
      <w:pPr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9D698F" w:rsidRPr="00DF6EAC" w:rsidRDefault="00413E5A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17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propozohe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n veprimtarit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, m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nyrat dhe z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rat financimit. Financimi e bashkë-financimi i politikave, programeve, projekteve e veprimtarive rinore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planifikohet e realizohet nëpërmjet, fondeve </w:t>
      </w:r>
      <w:proofErr w:type="spellStart"/>
      <w:r w:rsidR="009D698F" w:rsidRPr="00DF6EAC">
        <w:rPr>
          <w:rFonts w:ascii="Times New Roman" w:hAnsi="Times New Roman"/>
          <w:sz w:val="28"/>
          <w:szCs w:val="28"/>
          <w:lang w:val="sq-AL"/>
        </w:rPr>
        <w:t>grant</w:t>
      </w:r>
      <w:proofErr w:type="spellEnd"/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apo </w:t>
      </w:r>
      <w:proofErr w:type="spellStart"/>
      <w:r w:rsidR="009D698F" w:rsidRPr="00DF6EAC">
        <w:rPr>
          <w:rFonts w:ascii="Times New Roman" w:hAnsi="Times New Roman"/>
          <w:sz w:val="28"/>
          <w:szCs w:val="28"/>
          <w:lang w:val="sq-AL"/>
        </w:rPr>
        <w:t>transfertë</w:t>
      </w:r>
      <w:proofErr w:type="spellEnd"/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e pakushtëzuar, për:</w:t>
      </w:r>
    </w:p>
    <w:p w:rsidR="009D698F" w:rsidRPr="00DF6EAC" w:rsidRDefault="009D698F" w:rsidP="009D698F">
      <w:pPr>
        <w:spacing w:after="0"/>
        <w:ind w:left="850" w:hanging="283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a) financimin e objekteve dhe infrastrukturës rinore;</w:t>
      </w:r>
    </w:p>
    <w:p w:rsidR="009D698F" w:rsidRPr="00DF6EAC" w:rsidRDefault="009D698F" w:rsidP="009D698F">
      <w:pPr>
        <w:spacing w:after="0"/>
        <w:ind w:left="850" w:hanging="283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b) financimin e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veprimtarisë dhe projekteve të organizatave rinore;</w:t>
      </w:r>
    </w:p>
    <w:p w:rsidR="009D698F" w:rsidRPr="00DF6EAC" w:rsidRDefault="009D698F" w:rsidP="009D698F">
      <w:pPr>
        <w:spacing w:after="0"/>
        <w:ind w:left="850" w:hanging="283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c) financimin për anëtarësimin dhe pjesëmarrjen në programe ndërkombëtare;</w:t>
      </w:r>
    </w:p>
    <w:p w:rsidR="009D698F" w:rsidRPr="00DF6EAC" w:rsidRDefault="009D698F" w:rsidP="009D698F">
      <w:pPr>
        <w:spacing w:after="0"/>
        <w:ind w:left="850" w:hanging="283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ç) financimin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e studimeve, vëzhgimeve dhe analizave;</w:t>
      </w:r>
    </w:p>
    <w:p w:rsidR="009D698F" w:rsidRPr="00DF6EAC" w:rsidRDefault="009D698F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9D698F" w:rsidP="00127318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fondi i projekteve konkurruese për zhvillimin dhe financimin e objekteve dhe infrastrukturës rinore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shpërndahet mbi bazën e projekteve që paraqiten nga organizmat e rrjetit rinor, sipas kritereve të përcaktuara në ligjin vjetor të buxhetit.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rsa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i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rket procedurave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paraqitjes, shqyrtimit dhe financimit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projekteve apo studimeve të organizatave rinore të përcaktuara në pikën 3 të nenit 8 dhe pikën 4 të nenit 12 të projektligjit,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 xml:space="preserve">përcaktohen me udhëzim të përbashkët të ministrit përgjegjës për financat dhe ministrit përgjegjës për rininë. </w:t>
      </w:r>
    </w:p>
    <w:p w:rsidR="00127318" w:rsidRPr="00DF6EAC" w:rsidRDefault="00127318" w:rsidP="00127318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698F" w:rsidRPr="00DF6EAC" w:rsidRDefault="00413E5A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18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projektligjit, propozohen 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rcaktohen ambientet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r rinin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. Ambiente për rininë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jenë pasuritë e paluajtshme, pronë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publike ose private, të destinuara apo vëna në dispozicion për aktivitete dhe veprimtari rinore. Ambiente publike për rininë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jenë pasuri të paluajtshme në pronësi të pushtetit qendror ose vendor, sipas juridiksionit të vendndodhjes territoriale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tyre, të destinuara apo vëna në dispozicion për aktivitete dhe veprimtari rinore.</w:t>
      </w:r>
    </w:p>
    <w:p w:rsidR="009D698F" w:rsidRPr="00DF6EAC" w:rsidRDefault="009D698F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698F" w:rsidRPr="00DF6EAC" w:rsidRDefault="009D698F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përgjegjës për ndërtimin, rindërtimin, ruajtjen, mirëmbajtjen dhe shërbimet, si dhe krijimin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sz w:val="28"/>
          <w:szCs w:val="28"/>
          <w:lang w:val="sq-AL"/>
        </w:rPr>
        <w:t>e kushteve për funksionimin normal të tyre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jen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pronarët apo administratorët e mjediseve dhe ambientet për rininë ndërtohen, rindërtohen, përshtaten dhe mirëmbahen në funksion dhe për krijimin e kushteve për ushtrimin e veprimtarive për rininë dhe të rinjtë. </w:t>
      </w:r>
    </w:p>
    <w:p w:rsidR="009D698F" w:rsidRPr="00DF6EAC" w:rsidRDefault="009D698F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9D698F" w:rsidRPr="00DF6EAC" w:rsidRDefault="009D698F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Ndërtimi i objekteve për rininë dhe për zhvillimin e veprimtarive për rininë,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bëhet në përputhje me standardet dhe kushtet teknike të miratuara nga ministria përgjegjëse për infrastrukturën.</w:t>
      </w:r>
    </w:p>
    <w:p w:rsidR="009D698F" w:rsidRPr="00DF6EAC" w:rsidRDefault="009D698F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13E5A" w:rsidRPr="00DF6EAC" w:rsidRDefault="009D698F" w:rsidP="009D698F">
      <w:pPr>
        <w:spacing w:after="0"/>
        <w:contextualSpacing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Pjesë e infrastrukturës rinore propozohet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jenë dhe pasuritë e luajtshme të destinuara apo vëna në dispozicion për aktivitete dhe veprimtari rinore. Pronarët apo administratorët e mjediseve, duhet garantojnë rregullat teknike të sigurisë dhe ato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higj</w:t>
      </w:r>
      <w:r w:rsidR="00DF6EAC">
        <w:rPr>
          <w:rFonts w:ascii="Times New Roman" w:hAnsi="Times New Roman"/>
          <w:sz w:val="28"/>
          <w:szCs w:val="28"/>
          <w:lang w:val="sq-AL"/>
        </w:rPr>
        <w:t>i</w:t>
      </w:r>
      <w:r w:rsidRPr="00DF6EAC">
        <w:rPr>
          <w:rFonts w:ascii="Times New Roman" w:hAnsi="Times New Roman"/>
          <w:sz w:val="28"/>
          <w:szCs w:val="28"/>
          <w:lang w:val="sq-AL"/>
        </w:rPr>
        <w:t>eno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-sanitare, shëndetësore për shfrytëzimin dhe frekuentimin e rregullt e normal të mjediseve për rininë dhe të rinjtë, në përputhje me standardin e hapësirave të sigurta</w:t>
      </w:r>
      <w:r w:rsidR="00413E5A"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413E5A" w:rsidRPr="00DF6EAC" w:rsidRDefault="00413E5A" w:rsidP="00413E5A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27318" w:rsidRPr="00DF6EAC" w:rsidRDefault="00413E5A" w:rsidP="0012731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Neni 19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i projektligjit, propozon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r krijimin e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F6EAC">
        <w:rPr>
          <w:rFonts w:ascii="Times New Roman" w:hAnsi="Times New Roman"/>
          <w:sz w:val="28"/>
          <w:szCs w:val="28"/>
          <w:lang w:val="sq-AL"/>
        </w:rPr>
        <w:t>rmbajtjen e baz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s 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dh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nave p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>r rinin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Propozohet q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9D698F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Ministra përgjegjëse për çështjet e rinisë të krijojë, mbajë dhe administrojë bazën e të dhënave që kanë të bëjnë me të rinjtë, përmbajtja e të cilës publikohet në portalin “Për Rininë” dhe ndërveprimin e përmbajtjes së tij me bazat e tjera të informacionit. Qëllimi i bazës së të dhënave për rininë është të sigurojë informacion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 xml:space="preserve">përditësuar në lidhje me situatën dhe nevojat e të rinjve në vend si edhe të mbështesë procesin e planifikimit,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mbikëqyrjes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, administrimit dhe vlerësimit të politikave rinore në nivel qendror dhe lokal.</w:t>
      </w:r>
    </w:p>
    <w:p w:rsidR="00127318" w:rsidRPr="00DF6EAC" w:rsidRDefault="00127318" w:rsidP="0012731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Baza e të dhënave për rininë propozohet të përmbajë:</w:t>
      </w:r>
    </w:p>
    <w:p w:rsidR="00127318" w:rsidRPr="00DF6EAC" w:rsidRDefault="00127318" w:rsidP="00127318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a) listën e organizatave rinore në vend;</w:t>
      </w:r>
    </w:p>
    <w:p w:rsidR="00127318" w:rsidRPr="00DF6EAC" w:rsidRDefault="00127318" w:rsidP="00127318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>b) listën e organizatave rinore në vend me objekt të vetëm të veprimtarisë, aktivitete dhe veprimtari për të rinjtë.</w:t>
      </w:r>
    </w:p>
    <w:p w:rsidR="00127318" w:rsidRPr="00DF6EAC" w:rsidRDefault="00127318" w:rsidP="00127318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c) të dhëna për Organizatën Kombëtare Përfaqësuese Rinore;</w:t>
      </w:r>
    </w:p>
    <w:p w:rsidR="00127318" w:rsidRPr="00DF6EAC" w:rsidRDefault="00127318" w:rsidP="00127318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ç) informacion mbi politikat rinore kombëtare, vendore e Evropiane;</w:t>
      </w:r>
    </w:p>
    <w:p w:rsidR="00127318" w:rsidRPr="00DF6EAC" w:rsidRDefault="00127318" w:rsidP="00127318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d) informacion të përditësuar mbi mundësitë e financimit të projekteve e veprimtarive rinore;</w:t>
      </w:r>
    </w:p>
    <w:p w:rsidR="00127318" w:rsidRPr="00DF6EAC" w:rsidRDefault="00127318" w:rsidP="00127318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dh) studime, analiza, vlerësime e vëzhgime në lidhje me situatën e të rinjve e vlerësime të zbatimit të politikave vendore e lokale rinore;</w:t>
      </w:r>
    </w:p>
    <w:p w:rsidR="00127318" w:rsidRPr="00DF6EAC" w:rsidRDefault="00127318" w:rsidP="00127318">
      <w:pPr>
        <w:spacing w:after="0"/>
        <w:ind w:left="72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dh) informacione e dokumente të tjera me interes për të rinjtë;</w:t>
      </w:r>
    </w:p>
    <w:p w:rsidR="00127318" w:rsidRPr="00DF6EAC" w:rsidRDefault="00127318" w:rsidP="00127318">
      <w:pPr>
        <w:jc w:val="both"/>
        <w:rPr>
          <w:rFonts w:ascii="Times New Roman" w:hAnsi="Times New Roman"/>
          <w:sz w:val="28"/>
          <w:szCs w:val="28"/>
          <w:lang w:val="sq-AL"/>
        </w:rPr>
      </w:pPr>
    </w:p>
    <w:p w:rsidR="00127318" w:rsidRPr="00DF6EAC" w:rsidRDefault="00127318" w:rsidP="00127318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Kriteret dhe procedurat e regjistrimit në bazën e të dhënave propozohet të rregullohen me udhëzim të ministrit përgjegjës për çështjet e rinisë.</w:t>
      </w:r>
    </w:p>
    <w:p w:rsidR="00127318" w:rsidRPr="00DF6EAC" w:rsidRDefault="00413E5A" w:rsidP="00127318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Në nenin 20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të projektligjit parashikohet 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miratimi i akteve nënligjore në zbatim të projektligjit dhe afati i miratimit të tyre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 xml:space="preserve"> Propozohet që Këshilli i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Ministrave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, brenda 9 muajve nga hyrja në fuqi e këtij projektligji, të miratojnë aktet nënligjore në zbatim të nenit pikës 3 të nenit 9 dhe pikës 3 të nenit 10 të këtij projektligji ndërsa ministri përgjegjës për çështjet e rinisë dhe ministri përgjegjës për çështjet e financave, brenda 9 muajve nga hyrja në fuqi e këtij projektligji, të miratojnë udhëzimin e përbashkët në zbatim të pikës 3 të</w:t>
      </w:r>
      <w:r w:rsidR="00DF6EAC">
        <w:rPr>
          <w:rFonts w:ascii="Times New Roman" w:hAnsi="Times New Roman"/>
          <w:sz w:val="28"/>
          <w:szCs w:val="28"/>
          <w:lang w:val="sq-AL"/>
        </w:rPr>
        <w:t xml:space="preserve"> 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>nenit 17,  dhe pikës 4 të nenit 19 të këtij projektligji.</w:t>
      </w:r>
    </w:p>
    <w:p w:rsidR="00413E5A" w:rsidRPr="00DF6EAC" w:rsidRDefault="00413E5A" w:rsidP="00413E5A">
      <w:pPr>
        <w:jc w:val="both"/>
        <w:rPr>
          <w:rFonts w:ascii="Times New Roman" w:hAnsi="Times New Roman"/>
          <w:i/>
          <w:sz w:val="28"/>
          <w:szCs w:val="28"/>
          <w:lang w:val="sq-AL"/>
        </w:rPr>
      </w:pPr>
    </w:p>
    <w:p w:rsidR="00413E5A" w:rsidRPr="00DF6EAC" w:rsidRDefault="00413E5A" w:rsidP="00413E5A">
      <w:pPr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Neni 21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i projektligjit</w:t>
      </w:r>
      <w:r w:rsidR="00127318" w:rsidRPr="00DF6EAC">
        <w:rPr>
          <w:rFonts w:ascii="Times New Roman" w:hAnsi="Times New Roman"/>
          <w:sz w:val="28"/>
          <w:szCs w:val="28"/>
          <w:lang w:val="sq-AL"/>
        </w:rPr>
        <w:t xml:space="preserve"> propozon kohën e hyrjes në fuqi, 15 ditë pas botimit në Fletoren Zyrtare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413E5A" w:rsidRPr="00DF6EAC" w:rsidRDefault="00413E5A" w:rsidP="00DF6EAC">
      <w:pPr>
        <w:tabs>
          <w:tab w:val="left" w:pos="720"/>
          <w:tab w:val="center" w:pos="4320"/>
          <w:tab w:val="right" w:pos="8640"/>
        </w:tabs>
        <w:spacing w:line="240" w:lineRule="auto"/>
        <w:jc w:val="both"/>
        <w:rPr>
          <w:rFonts w:ascii="Times New Roman" w:eastAsia="PMingLiU" w:hAnsi="Times New Roman"/>
          <w:b/>
          <w:sz w:val="28"/>
          <w:szCs w:val="28"/>
          <w:lang w:val="sq-AL"/>
        </w:rPr>
      </w:pPr>
      <w:r w:rsidRPr="00DF6EAC">
        <w:rPr>
          <w:rFonts w:ascii="Times New Roman" w:eastAsia="PMingLiU" w:hAnsi="Times New Roman"/>
          <w:b/>
          <w:sz w:val="28"/>
          <w:szCs w:val="28"/>
          <w:lang w:val="sq-AL"/>
        </w:rPr>
        <w:t>VII.</w:t>
      </w:r>
      <w:r w:rsidRPr="00DF6EAC">
        <w:rPr>
          <w:rFonts w:ascii="Times New Roman" w:eastAsia="PMingLiU" w:hAnsi="Times New Roman"/>
          <w:b/>
          <w:sz w:val="28"/>
          <w:szCs w:val="28"/>
          <w:lang w:val="sq-AL"/>
        </w:rPr>
        <w:tab/>
        <w:t>INSTITUCIONET DHE ORGANET E TJERA QË NGARKOHEN PËR ZBATIMIN E LIGJIT</w:t>
      </w:r>
    </w:p>
    <w:p w:rsidR="00413E5A" w:rsidRPr="00DF6EAC" w:rsidRDefault="00413E5A" w:rsidP="00413E5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Për zbatimin e këtij ligji ngarkohet </w:t>
      </w:r>
      <w:r w:rsidRPr="00DF6EAC">
        <w:rPr>
          <w:rFonts w:ascii="Times New Roman" w:hAnsi="Times New Roman"/>
          <w:sz w:val="28"/>
          <w:szCs w:val="28"/>
          <w:lang w:val="sq-AL" w:eastAsia="sq-AL"/>
        </w:rPr>
        <w:t xml:space="preserve">ministria përgjegjëse për </w:t>
      </w:r>
      <w:r w:rsidR="00EC71CA" w:rsidRPr="00DF6EAC">
        <w:rPr>
          <w:rFonts w:ascii="Times New Roman" w:hAnsi="Times New Roman"/>
          <w:sz w:val="28"/>
          <w:szCs w:val="28"/>
          <w:lang w:val="sq-AL" w:eastAsia="sq-AL"/>
        </w:rPr>
        <w:t>rinin</w:t>
      </w:r>
      <w:r w:rsidR="00304B4A" w:rsidRPr="00DF6EAC">
        <w:rPr>
          <w:rFonts w:ascii="Times New Roman" w:hAnsi="Times New Roman"/>
          <w:sz w:val="28"/>
          <w:szCs w:val="28"/>
          <w:lang w:val="sq-AL" w:eastAsia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 w:eastAsia="sq-AL"/>
        </w:rPr>
        <w:t>, institucione t</w:t>
      </w:r>
      <w:r w:rsidR="00304B4A" w:rsidRPr="00DF6EAC">
        <w:rPr>
          <w:rFonts w:ascii="Times New Roman" w:hAnsi="Times New Roman"/>
          <w:sz w:val="28"/>
          <w:szCs w:val="28"/>
          <w:lang w:val="sq-AL" w:eastAsia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 w:eastAsia="sq-AL"/>
        </w:rPr>
        <w:t xml:space="preserve"> tjera qendrore dhe nj</w:t>
      </w:r>
      <w:r w:rsidR="00304B4A" w:rsidRPr="00DF6EAC">
        <w:rPr>
          <w:rFonts w:ascii="Times New Roman" w:hAnsi="Times New Roman"/>
          <w:sz w:val="28"/>
          <w:szCs w:val="28"/>
          <w:lang w:val="sq-AL" w:eastAsia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 w:eastAsia="sq-AL"/>
        </w:rPr>
        <w:t>sit</w:t>
      </w:r>
      <w:r w:rsidR="00304B4A" w:rsidRPr="00DF6EAC">
        <w:rPr>
          <w:rFonts w:ascii="Times New Roman" w:hAnsi="Times New Roman"/>
          <w:sz w:val="28"/>
          <w:szCs w:val="28"/>
          <w:lang w:val="sq-AL" w:eastAsia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 w:eastAsia="sq-AL"/>
        </w:rPr>
        <w:t xml:space="preserve"> e vet</w:t>
      </w:r>
      <w:r w:rsidR="00304B4A" w:rsidRPr="00DF6EAC">
        <w:rPr>
          <w:rFonts w:ascii="Times New Roman" w:hAnsi="Times New Roman"/>
          <w:sz w:val="28"/>
          <w:szCs w:val="28"/>
          <w:lang w:val="sq-AL" w:eastAsia="sq-AL"/>
        </w:rPr>
        <w:t>ë</w:t>
      </w:r>
      <w:r w:rsidR="00EC71CA" w:rsidRPr="00DF6EAC">
        <w:rPr>
          <w:rFonts w:ascii="Times New Roman" w:hAnsi="Times New Roman"/>
          <w:sz w:val="28"/>
          <w:szCs w:val="28"/>
          <w:lang w:val="sq-AL" w:eastAsia="sq-AL"/>
        </w:rPr>
        <w:t>qeverisjes vendore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DF6EAC" w:rsidRDefault="00DF6EAC" w:rsidP="00413E5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Pr="00DF6EAC" w:rsidRDefault="00413E5A" w:rsidP="00413E5A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VIII.</w:t>
      </w:r>
      <w:r w:rsidRPr="00DF6EAC">
        <w:rPr>
          <w:rFonts w:ascii="Times New Roman" w:hAnsi="Times New Roman"/>
          <w:b/>
          <w:sz w:val="28"/>
          <w:szCs w:val="28"/>
          <w:lang w:val="sq-AL"/>
        </w:rPr>
        <w:tab/>
        <w:t>MINISTRITË, INSTITUCIONET DHE SUBJEKTET E TJERA QË KANË KONTRIBUAR NË HARTIMIN E PROJEKTLIGJIT</w:t>
      </w:r>
    </w:p>
    <w:p w:rsidR="00413E5A" w:rsidRDefault="00413E5A" w:rsidP="00413E5A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Për hartimin e këtij projektligji </w:t>
      </w:r>
      <w:r w:rsidR="00DF6EAC" w:rsidRPr="00DF6EAC">
        <w:rPr>
          <w:rFonts w:ascii="Times New Roman" w:hAnsi="Times New Roman"/>
          <w:sz w:val="28"/>
          <w:szCs w:val="28"/>
          <w:lang w:val="sq-AL"/>
        </w:rPr>
        <w:t>kontribuuan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D</w:t>
      </w:r>
      <w:r w:rsidRPr="00DF6EAC">
        <w:rPr>
          <w:rFonts w:ascii="Times New Roman" w:hAnsi="Times New Roman"/>
          <w:sz w:val="28"/>
          <w:szCs w:val="28"/>
          <w:lang w:val="sq-AL" w:eastAsia="sq-AL"/>
        </w:rPr>
        <w:t>rejtoritë e Ministrisë së Arsimit, Sportit dhe Rinisë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. </w:t>
      </w:r>
    </w:p>
    <w:p w:rsidR="00DF6EAC" w:rsidRDefault="00DF6EAC" w:rsidP="00413E5A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F6EAC" w:rsidRPr="00DF6EAC" w:rsidRDefault="00DF6EAC" w:rsidP="00413E5A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4D3976" w:rsidRPr="00DF6EAC" w:rsidRDefault="00413E5A" w:rsidP="00413E5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lastRenderedPageBreak/>
        <w:t>IX.</w:t>
      </w:r>
      <w:r w:rsidRPr="00DF6EAC">
        <w:rPr>
          <w:rFonts w:ascii="Times New Roman" w:hAnsi="Times New Roman"/>
          <w:b/>
          <w:sz w:val="28"/>
          <w:szCs w:val="28"/>
          <w:lang w:val="sq-AL"/>
        </w:rPr>
        <w:tab/>
        <w:t xml:space="preserve">RAPORTI I VLERËSIMIT TË </w:t>
      </w:r>
      <w:proofErr w:type="spellStart"/>
      <w:r w:rsidRPr="00DF6EAC">
        <w:rPr>
          <w:rFonts w:ascii="Times New Roman" w:hAnsi="Times New Roman"/>
          <w:b/>
          <w:sz w:val="28"/>
          <w:szCs w:val="28"/>
          <w:lang w:val="sq-AL"/>
        </w:rPr>
        <w:t>TË</w:t>
      </w:r>
      <w:proofErr w:type="spellEnd"/>
      <w:r w:rsidRPr="00DF6EAC">
        <w:rPr>
          <w:rFonts w:ascii="Times New Roman" w:hAnsi="Times New Roman"/>
          <w:b/>
          <w:sz w:val="28"/>
          <w:szCs w:val="28"/>
          <w:lang w:val="sq-AL"/>
        </w:rPr>
        <w:t xml:space="preserve"> ARDHURAVE DHE SHPENZIMEVE BUXHETORE</w:t>
      </w:r>
    </w:p>
    <w:p w:rsidR="004D3976" w:rsidRPr="00DF6EAC" w:rsidRDefault="004D3976" w:rsidP="004D3976">
      <w:pPr>
        <w:spacing w:after="0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 xml:space="preserve">Projektligji parashikon burimet e financimit të politikave, programeve dhe veprimtarive rinore duke theksuar kontributin e buxheteve vendore në këtë drejtim krahas planifikimeve e parashikimeve të buxhetit të shtetit. Njëkohësisht parashikon dhe burime të tjera të ligjshme financimi si të ardhurat e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gjeneruara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nga veprimtaria e organizatave rinore, donacionet,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sponsorizimet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>, programet Evropiane etj. Në kuadër të financimit, projektligji parashikon financimin dhe bashkëfinancimin</w:t>
      </w:r>
      <w:r w:rsidR="00AD2515" w:rsidRPr="00DF6EAC">
        <w:rPr>
          <w:rFonts w:ascii="Times New Roman" w:hAnsi="Times New Roman"/>
          <w:sz w:val="28"/>
          <w:szCs w:val="28"/>
          <w:lang w:val="sq-AL"/>
        </w:rPr>
        <w:t xml:space="preserve"> e projekteve, 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mënyrat e financimit dhe zërat konkretë të financimit. Nëpërmjet kritereve të propozuara synohet rritja e aktivizimit rinor dhe rritja e bashkëveprimit ndërmjet organizatave rinore me qëllim bashkimin e njohurive dhe potencialeve si dhe krijimin e </w:t>
      </w:r>
      <w:proofErr w:type="spellStart"/>
      <w:r w:rsidRPr="00DF6EAC">
        <w:rPr>
          <w:rFonts w:ascii="Times New Roman" w:hAnsi="Times New Roman"/>
          <w:sz w:val="28"/>
          <w:szCs w:val="28"/>
          <w:lang w:val="sq-AL"/>
        </w:rPr>
        <w:t>sinergjive</w:t>
      </w:r>
      <w:proofErr w:type="spellEnd"/>
      <w:r w:rsidRPr="00DF6EAC">
        <w:rPr>
          <w:rFonts w:ascii="Times New Roman" w:hAnsi="Times New Roman"/>
          <w:sz w:val="28"/>
          <w:szCs w:val="28"/>
          <w:lang w:val="sq-AL"/>
        </w:rPr>
        <w:t xml:space="preserve"> për arritjen e qëllimeve të përbashkëta. Këto subjekte do të mbështeten me financime nga buxheti i shtetit dhe buxhetet vendore. Projektligji parashikon edhe krijimin e personave juridikë nga njësitë e vetëqeverisjes vendore, të cilat më pas mund të marrin pjesë në thirrjet e hapura për projektet rinore dhe aplikojnë për mbështetje nga projektet kombëtare e ndërkombëtare. </w:t>
      </w:r>
    </w:p>
    <w:p w:rsidR="004D3976" w:rsidRPr="00DF6EAC" w:rsidRDefault="004D3976" w:rsidP="00DC0A99">
      <w:pPr>
        <w:spacing w:after="0"/>
        <w:jc w:val="both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Financimi i politikave, programeve e veprimtarive rinore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, si dhe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bashkë-financimi i politikave, programeve, projekteve e veprimtarive rinore planifikohet e realizohet nëpërmjet, fondeve </w:t>
      </w:r>
      <w:proofErr w:type="spellStart"/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grant</w:t>
      </w:r>
      <w:proofErr w:type="spellEnd"/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apo </w:t>
      </w:r>
      <w:proofErr w:type="spellStart"/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transfertë</w:t>
      </w:r>
      <w:proofErr w:type="spellEnd"/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e pakushtëzuar</w:t>
      </w:r>
      <w:r w:rsidR="00825F85" w:rsidRPr="00DF6EAC">
        <w:rPr>
          <w:rFonts w:ascii="Times New Roman" w:hAnsi="Times New Roman"/>
          <w:color w:val="000000"/>
          <w:sz w:val="28"/>
          <w:szCs w:val="28"/>
          <w:lang w:val="sq-AL"/>
        </w:rPr>
        <w:t>, me synim p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825F85" w:rsidRPr="00DF6EAC">
        <w:rPr>
          <w:rFonts w:ascii="Times New Roman" w:hAnsi="Times New Roman"/>
          <w:color w:val="000000"/>
          <w:sz w:val="28"/>
          <w:szCs w:val="28"/>
          <w:lang w:val="sq-AL"/>
        </w:rPr>
        <w:t>rmir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825F85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simin 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infrastrukturës rinore</w:t>
      </w:r>
      <w:r w:rsidR="00825F85" w:rsidRPr="00DF6EAC">
        <w:rPr>
          <w:rFonts w:ascii="Times New Roman" w:hAnsi="Times New Roman"/>
          <w:color w:val="000000"/>
          <w:sz w:val="28"/>
          <w:szCs w:val="28"/>
          <w:lang w:val="sq-AL"/>
        </w:rPr>
        <w:t>, financimi p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825F85" w:rsidRPr="00DF6EAC">
        <w:rPr>
          <w:rFonts w:ascii="Times New Roman" w:hAnsi="Times New Roman"/>
          <w:color w:val="000000"/>
          <w:sz w:val="28"/>
          <w:szCs w:val="28"/>
          <w:lang w:val="sq-AL"/>
        </w:rPr>
        <w:t>r nd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825F85" w:rsidRPr="00DF6EAC">
        <w:rPr>
          <w:rFonts w:ascii="Times New Roman" w:hAnsi="Times New Roman"/>
          <w:color w:val="000000"/>
          <w:sz w:val="28"/>
          <w:szCs w:val="28"/>
          <w:lang w:val="sq-AL"/>
        </w:rPr>
        <w:t>rtimin e objekteve p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="00825F85" w:rsidRPr="00DF6EAC">
        <w:rPr>
          <w:rFonts w:ascii="Times New Roman" w:hAnsi="Times New Roman"/>
          <w:color w:val="000000"/>
          <w:sz w:val="28"/>
          <w:szCs w:val="28"/>
          <w:lang w:val="sq-AL"/>
        </w:rPr>
        <w:t>r rinin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;</w:t>
      </w:r>
      <w:r w:rsidR="00DC0A99" w:rsidRPr="00DF6EA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financimin e veprimtarisë dhe projekteve të organizatave rinore;</w:t>
      </w:r>
      <w:r w:rsidR="00DC0A99" w:rsidRPr="00DF6EA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financimin për anëtarësimin dhe pjesëmarrjen në programe ndërkombëtare;</w:t>
      </w:r>
      <w:r w:rsidR="00DC0A99" w:rsidRPr="00DF6EA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financimin e studimeve, vë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zhgimeve dhe analizave, e të tjera ku përfitues të </w:t>
      </w:r>
      <w:r w:rsidR="00DF6EAC" w:rsidRPr="00DF6EAC">
        <w:rPr>
          <w:rFonts w:ascii="Times New Roman" w:hAnsi="Times New Roman"/>
          <w:color w:val="000000"/>
          <w:sz w:val="28"/>
          <w:szCs w:val="28"/>
          <w:lang w:val="sq-AL"/>
        </w:rPr>
        <w:t>drejtpërdrejtë</w:t>
      </w:r>
      <w:r w:rsidR="001717EB" w:rsidRPr="00DF6EAC">
        <w:rPr>
          <w:rFonts w:ascii="Times New Roman" w:hAnsi="Times New Roman"/>
          <w:color w:val="000000"/>
          <w:sz w:val="28"/>
          <w:szCs w:val="28"/>
          <w:lang w:val="sq-AL"/>
        </w:rPr>
        <w:t xml:space="preserve"> janë të rinjtë.</w:t>
      </w:r>
    </w:p>
    <w:p w:rsidR="004D3976" w:rsidRPr="00DF6EAC" w:rsidRDefault="004D3976" w:rsidP="00DC0A99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lang w:val="sq-AL"/>
        </w:rPr>
      </w:pPr>
      <w:r w:rsidRPr="00DF6EAC">
        <w:rPr>
          <w:rFonts w:ascii="Times New Roman" w:hAnsi="Times New Roman"/>
          <w:color w:val="000000"/>
          <w:sz w:val="28"/>
          <w:szCs w:val="28"/>
          <w:lang w:val="sq-AL"/>
        </w:rPr>
        <w:t>Fondi i projekteve konkurruese për zhvillimin dhe financimin e objekteve dhe infrastrukturës rinore shpërndahet mbi bazën e projekteve që paraqiten nga organizmat e rrjetit rinor, sipas kritereve të përcaktuara në ligjin vjetor të buxhetit. Procedurat e paraqitjes, shqyrtimit dhe financimit të projekteve apo studimeve të organizatave rinore të përcaktuara në pikën 4 të nenit 12 të këtij ligji, përcaktohen me udhëzim të përbashkët të ministrit përgjegjës për financat dhe ministrit përgjegjës për rininë</w:t>
      </w:r>
      <w:r w:rsidR="00DC0A99" w:rsidRPr="00DF6EAC">
        <w:rPr>
          <w:rFonts w:ascii="Times New Roman" w:hAnsi="Times New Roman"/>
          <w:color w:val="000000"/>
          <w:sz w:val="28"/>
          <w:szCs w:val="28"/>
          <w:lang w:val="sq-AL"/>
        </w:rPr>
        <w:t>.</w:t>
      </w:r>
    </w:p>
    <w:tbl>
      <w:tblPr>
        <w:tblStyle w:val="GridTable4-Accent1"/>
        <w:tblpPr w:leftFromText="180" w:rightFromText="180" w:vertAnchor="text" w:horzAnchor="margin" w:tblpXSpec="right" w:tblpY="44"/>
        <w:tblW w:w="9055" w:type="dxa"/>
        <w:tblLook w:val="04A0" w:firstRow="1" w:lastRow="0" w:firstColumn="1" w:lastColumn="0" w:noHBand="0" w:noVBand="1"/>
      </w:tblPr>
      <w:tblGrid>
        <w:gridCol w:w="1629"/>
        <w:gridCol w:w="2021"/>
        <w:gridCol w:w="2980"/>
        <w:gridCol w:w="2425"/>
      </w:tblGrid>
      <w:tr w:rsidR="004D3976" w:rsidRPr="00DF6EAC" w:rsidTr="001D4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4D3976" w:rsidRPr="00DF6EAC" w:rsidRDefault="004D3976" w:rsidP="001D43D4">
            <w:pPr>
              <w:pStyle w:val="NoSpacing"/>
              <w:rPr>
                <w:lang w:val="sq-AL"/>
              </w:rPr>
            </w:pPr>
            <w:r w:rsidRPr="00DF6EAC">
              <w:rPr>
                <w:lang w:val="sq-AL"/>
              </w:rPr>
              <w:t>Financimi</w:t>
            </w:r>
          </w:p>
        </w:tc>
        <w:tc>
          <w:tcPr>
            <w:tcW w:w="2021" w:type="dxa"/>
          </w:tcPr>
          <w:p w:rsidR="004D3976" w:rsidRPr="00DF6EAC" w:rsidRDefault="004D3976" w:rsidP="001D43D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DF6EAC">
              <w:rPr>
                <w:lang w:val="sq-AL"/>
              </w:rPr>
              <w:t>Viti 1_ 2019</w:t>
            </w:r>
          </w:p>
        </w:tc>
        <w:tc>
          <w:tcPr>
            <w:tcW w:w="2980" w:type="dxa"/>
          </w:tcPr>
          <w:p w:rsidR="004D3976" w:rsidRPr="00DF6EAC" w:rsidRDefault="004D3976" w:rsidP="001D43D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DF6EAC">
              <w:rPr>
                <w:lang w:val="sq-AL"/>
              </w:rPr>
              <w:t>Viti 2_ 2020</w:t>
            </w:r>
          </w:p>
        </w:tc>
        <w:tc>
          <w:tcPr>
            <w:tcW w:w="2425" w:type="dxa"/>
          </w:tcPr>
          <w:p w:rsidR="004D3976" w:rsidRPr="00DF6EAC" w:rsidRDefault="004D3976" w:rsidP="001D43D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q-AL"/>
              </w:rPr>
            </w:pPr>
            <w:r w:rsidRPr="00DF6EAC">
              <w:rPr>
                <w:lang w:val="sq-AL"/>
              </w:rPr>
              <w:t>Viti 3_2021</w:t>
            </w:r>
          </w:p>
        </w:tc>
      </w:tr>
      <w:tr w:rsidR="004D3976" w:rsidRPr="00DF6EAC" w:rsidTr="001D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4D3976" w:rsidRPr="00DF6EAC" w:rsidRDefault="004D3976" w:rsidP="001D43D4">
            <w:pPr>
              <w:pStyle w:val="NoSpacing"/>
              <w:rPr>
                <w:lang w:val="sq-AL"/>
              </w:rPr>
            </w:pPr>
            <w:r w:rsidRPr="00DF6EAC">
              <w:rPr>
                <w:lang w:val="sq-AL"/>
              </w:rPr>
              <w:t>Total</w:t>
            </w:r>
          </w:p>
        </w:tc>
        <w:tc>
          <w:tcPr>
            <w:tcW w:w="2021" w:type="dxa"/>
          </w:tcPr>
          <w:p w:rsidR="004D3976" w:rsidRPr="00DF6EAC" w:rsidRDefault="004D3976" w:rsidP="001D43D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 xml:space="preserve">4,100 000 </w:t>
            </w:r>
          </w:p>
        </w:tc>
        <w:tc>
          <w:tcPr>
            <w:tcW w:w="2980" w:type="dxa"/>
          </w:tcPr>
          <w:p w:rsidR="004D3976" w:rsidRPr="00DF6EAC" w:rsidRDefault="004D3976" w:rsidP="001D43D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>4,600 000</w:t>
            </w:r>
          </w:p>
        </w:tc>
        <w:tc>
          <w:tcPr>
            <w:tcW w:w="2425" w:type="dxa"/>
          </w:tcPr>
          <w:p w:rsidR="004D3976" w:rsidRPr="00DF6EAC" w:rsidRDefault="004D3976" w:rsidP="001D43D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>5,400 000</w:t>
            </w:r>
          </w:p>
        </w:tc>
      </w:tr>
      <w:tr w:rsidR="004D3976" w:rsidRPr="00DF6EAC" w:rsidTr="001D43D4">
        <w:trPr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4D3976" w:rsidRPr="00DF6EAC" w:rsidRDefault="004D3976" w:rsidP="001D43D4">
            <w:pPr>
              <w:pStyle w:val="NoSpacing"/>
              <w:rPr>
                <w:lang w:val="sq-AL"/>
              </w:rPr>
            </w:pPr>
            <w:r w:rsidRPr="00DF6EAC">
              <w:rPr>
                <w:lang w:val="sq-AL"/>
              </w:rPr>
              <w:t xml:space="preserve">Buxheti i shtetit </w:t>
            </w:r>
          </w:p>
        </w:tc>
        <w:tc>
          <w:tcPr>
            <w:tcW w:w="2021" w:type="dxa"/>
          </w:tcPr>
          <w:p w:rsidR="004D3976" w:rsidRPr="00DF6EAC" w:rsidRDefault="004D3976" w:rsidP="001D43D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 xml:space="preserve">3,500 000 </w:t>
            </w:r>
          </w:p>
        </w:tc>
        <w:tc>
          <w:tcPr>
            <w:tcW w:w="2980" w:type="dxa"/>
          </w:tcPr>
          <w:p w:rsidR="004D3976" w:rsidRPr="00DF6EAC" w:rsidRDefault="004D3976" w:rsidP="001D43D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>3,800 000</w:t>
            </w:r>
          </w:p>
        </w:tc>
        <w:tc>
          <w:tcPr>
            <w:tcW w:w="2425" w:type="dxa"/>
          </w:tcPr>
          <w:p w:rsidR="004D3976" w:rsidRPr="00DF6EAC" w:rsidRDefault="004D3976" w:rsidP="001D43D4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>4,200 000</w:t>
            </w:r>
          </w:p>
        </w:tc>
      </w:tr>
      <w:tr w:rsidR="004D3976" w:rsidRPr="00DF6EAC" w:rsidTr="001D43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" w:type="dxa"/>
          </w:tcPr>
          <w:p w:rsidR="004D3976" w:rsidRPr="00DF6EAC" w:rsidRDefault="004D3976" w:rsidP="001D43D4">
            <w:pPr>
              <w:pStyle w:val="NoSpacing"/>
              <w:rPr>
                <w:lang w:val="sq-AL"/>
              </w:rPr>
            </w:pPr>
            <w:r w:rsidRPr="00DF6EAC">
              <w:rPr>
                <w:lang w:val="sq-AL"/>
              </w:rPr>
              <w:t>Të pambuluara</w:t>
            </w:r>
          </w:p>
        </w:tc>
        <w:tc>
          <w:tcPr>
            <w:tcW w:w="2021" w:type="dxa"/>
          </w:tcPr>
          <w:p w:rsidR="004D3976" w:rsidRPr="00DF6EAC" w:rsidRDefault="004D3976" w:rsidP="001D43D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 xml:space="preserve">600 000 </w:t>
            </w:r>
          </w:p>
        </w:tc>
        <w:tc>
          <w:tcPr>
            <w:tcW w:w="2980" w:type="dxa"/>
          </w:tcPr>
          <w:p w:rsidR="004D3976" w:rsidRPr="00DF6EAC" w:rsidRDefault="004D3976" w:rsidP="001D43D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>800 000</w:t>
            </w:r>
          </w:p>
        </w:tc>
        <w:tc>
          <w:tcPr>
            <w:tcW w:w="2425" w:type="dxa"/>
          </w:tcPr>
          <w:p w:rsidR="004D3976" w:rsidRPr="00DF6EAC" w:rsidRDefault="004D3976" w:rsidP="001D43D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sq-AL"/>
              </w:rPr>
            </w:pPr>
            <w:r w:rsidRPr="00DF6EAC">
              <w:rPr>
                <w:b/>
                <w:lang w:val="sq-AL"/>
              </w:rPr>
              <w:t>1,200 000</w:t>
            </w:r>
          </w:p>
        </w:tc>
      </w:tr>
    </w:tbl>
    <w:p w:rsidR="001D43D4" w:rsidRPr="00DF6EAC" w:rsidRDefault="001D43D4" w:rsidP="004D3976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</w:p>
    <w:p w:rsidR="00DC0A99" w:rsidRPr="00DF6EAC" w:rsidRDefault="004D3976" w:rsidP="004D3976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lastRenderedPageBreak/>
        <w:t xml:space="preserve">Kostoja e përllogaritur në total e opsionit të preferuar 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me financim nga fonde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buxheti i shtetit, si dhe </w:t>
      </w:r>
      <w:proofErr w:type="spellStart"/>
      <w:r w:rsidR="00DC0A99" w:rsidRPr="00DF6EAC">
        <w:rPr>
          <w:rFonts w:ascii="Times New Roman" w:hAnsi="Times New Roman"/>
          <w:sz w:val="28"/>
          <w:szCs w:val="28"/>
          <w:lang w:val="sq-AL"/>
        </w:rPr>
        <w:t>transferta</w:t>
      </w:r>
      <w:proofErr w:type="spellEnd"/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e pakusht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zuar e nj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sive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vet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qever</w:t>
      </w:r>
      <w:r w:rsidR="001717EB" w:rsidRPr="00DF6EAC">
        <w:rPr>
          <w:rFonts w:ascii="Times New Roman" w:hAnsi="Times New Roman"/>
          <w:sz w:val="28"/>
          <w:szCs w:val="28"/>
          <w:lang w:val="sq-AL"/>
        </w:rPr>
        <w:t>i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sjes vendore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parashikuara </w:t>
      </w:r>
      <w:r w:rsidRPr="00DF6EAC">
        <w:rPr>
          <w:rFonts w:ascii="Times New Roman" w:hAnsi="Times New Roman"/>
          <w:sz w:val="28"/>
          <w:szCs w:val="28"/>
          <w:lang w:val="sq-AL"/>
        </w:rPr>
        <w:t>gjatë periudhës 3-vjeçare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, që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me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njëherë pas miratimit të ligjit, jan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fonde q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parashikohet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prekin rreth 500-550 mij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rinj p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rfitues n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gjith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vendin nga mosha 15 deri 29 vjeç. Grupet m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p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rfituese jan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detajuar 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rinj n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DC0A99" w:rsidRPr="00DF6EAC">
        <w:rPr>
          <w:rFonts w:ascii="Times New Roman" w:hAnsi="Times New Roman"/>
          <w:sz w:val="28"/>
          <w:szCs w:val="28"/>
          <w:lang w:val="sq-AL"/>
        </w:rPr>
        <w:t>grupmosh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s</w:t>
      </w:r>
      <w:proofErr w:type="spellEnd"/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15-19 q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jan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aktualisht ndjekin arsimin e m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e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s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m publik dhe privat rreth 150 mij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, 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rinj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grup mosh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>s 19-23 vje</w:t>
      </w:r>
      <w:r w:rsidR="001717EB" w:rsidRPr="00DF6EAC">
        <w:rPr>
          <w:rFonts w:ascii="Times New Roman" w:hAnsi="Times New Roman"/>
          <w:sz w:val="28"/>
          <w:szCs w:val="28"/>
          <w:lang w:val="sq-AL"/>
        </w:rPr>
        <w:t>ç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kryesisht jan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n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universitet si dhe shkolla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tjera t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DC0A99" w:rsidRPr="00DF6EAC">
        <w:rPr>
          <w:rFonts w:ascii="Times New Roman" w:hAnsi="Times New Roman"/>
          <w:sz w:val="28"/>
          <w:szCs w:val="28"/>
          <w:lang w:val="sq-AL"/>
        </w:rPr>
        <w:t xml:space="preserve"> larta 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me rreth 150 mij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student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q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ndjekin tre ciklet e studimeve n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IAL publike dhe private, si dhe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rinj</w:t>
      </w:r>
      <w:r w:rsidR="001717EB" w:rsidRPr="00DF6EAC">
        <w:rPr>
          <w:rFonts w:ascii="Times New Roman" w:hAnsi="Times New Roman"/>
          <w:sz w:val="28"/>
          <w:szCs w:val="28"/>
          <w:lang w:val="sq-AL"/>
        </w:rPr>
        <w:t>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</w:t>
      </w:r>
      <w:proofErr w:type="spellStart"/>
      <w:r w:rsidR="001D43D4" w:rsidRPr="00DF6EAC">
        <w:rPr>
          <w:rFonts w:ascii="Times New Roman" w:hAnsi="Times New Roman"/>
          <w:sz w:val="28"/>
          <w:szCs w:val="28"/>
          <w:lang w:val="sq-AL"/>
        </w:rPr>
        <w:t>grupmosh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s</w:t>
      </w:r>
      <w:proofErr w:type="spellEnd"/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24-29 vjeç q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jan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pun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suar apo pun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k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>rkues  rreth 200 mij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D43D4" w:rsidRPr="00DF6EAC">
        <w:rPr>
          <w:rFonts w:ascii="Times New Roman" w:hAnsi="Times New Roman"/>
          <w:sz w:val="28"/>
          <w:szCs w:val="28"/>
          <w:lang w:val="sq-AL"/>
        </w:rPr>
        <w:t xml:space="preserve"> rinj.</w:t>
      </w:r>
    </w:p>
    <w:p w:rsidR="001D43D4" w:rsidRPr="00DF6EAC" w:rsidRDefault="001D43D4" w:rsidP="004D3976">
      <w:pPr>
        <w:spacing w:line="240" w:lineRule="auto"/>
        <w:jc w:val="both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sz w:val="28"/>
          <w:szCs w:val="28"/>
          <w:lang w:val="sq-AL"/>
        </w:rPr>
        <w:t>Kostot e parashikuara si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pambuluara mund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financohen apo bashk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="001717EB" w:rsidRPr="00DF6EAC">
        <w:rPr>
          <w:rFonts w:ascii="Times New Roman" w:hAnsi="Times New Roman"/>
          <w:sz w:val="28"/>
          <w:szCs w:val="28"/>
          <w:lang w:val="sq-AL"/>
        </w:rPr>
        <w:t>-</w:t>
      </w:r>
      <w:r w:rsidRPr="00DF6EAC">
        <w:rPr>
          <w:rFonts w:ascii="Times New Roman" w:hAnsi="Times New Roman"/>
          <w:sz w:val="28"/>
          <w:szCs w:val="28"/>
          <w:lang w:val="sq-AL"/>
        </w:rPr>
        <w:t>fina</w:t>
      </w:r>
      <w:r w:rsidR="001717EB" w:rsidRPr="00DF6EAC">
        <w:rPr>
          <w:rFonts w:ascii="Times New Roman" w:hAnsi="Times New Roman"/>
          <w:sz w:val="28"/>
          <w:szCs w:val="28"/>
          <w:lang w:val="sq-AL"/>
        </w:rPr>
        <w:t>n</w:t>
      </w:r>
      <w:r w:rsidRPr="00DF6EAC">
        <w:rPr>
          <w:rFonts w:ascii="Times New Roman" w:hAnsi="Times New Roman"/>
          <w:sz w:val="28"/>
          <w:szCs w:val="28"/>
          <w:lang w:val="sq-AL"/>
        </w:rPr>
        <w:t>cohen nga donator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>, mund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financohen nga </w:t>
      </w:r>
      <w:r w:rsidR="001717EB" w:rsidRPr="00DF6EAC">
        <w:rPr>
          <w:rFonts w:ascii="Times New Roman" w:hAnsi="Times New Roman"/>
          <w:sz w:val="28"/>
          <w:szCs w:val="28"/>
          <w:lang w:val="sq-AL"/>
        </w:rPr>
        <w:t>biznesi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apo projekte t</w:t>
      </w:r>
      <w:r w:rsidR="00825F85" w:rsidRPr="00DF6EAC">
        <w:rPr>
          <w:rFonts w:ascii="Times New Roman" w:hAnsi="Times New Roman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sz w:val="28"/>
          <w:szCs w:val="28"/>
          <w:lang w:val="sq-AL"/>
        </w:rPr>
        <w:t xml:space="preserve"> tjera </w:t>
      </w:r>
      <w:r w:rsidR="001717EB" w:rsidRPr="00DF6EAC">
        <w:rPr>
          <w:rFonts w:ascii="Times New Roman" w:hAnsi="Times New Roman"/>
          <w:sz w:val="28"/>
          <w:szCs w:val="28"/>
          <w:lang w:val="sq-AL"/>
        </w:rPr>
        <w:t>ndërkombëtarë</w:t>
      </w:r>
      <w:r w:rsidRPr="00DF6EAC">
        <w:rPr>
          <w:rFonts w:ascii="Times New Roman" w:hAnsi="Times New Roman"/>
          <w:sz w:val="28"/>
          <w:szCs w:val="28"/>
          <w:lang w:val="sq-AL"/>
        </w:rPr>
        <w:t>.</w:t>
      </w:r>
    </w:p>
    <w:p w:rsidR="004D3976" w:rsidRPr="00DF6EAC" w:rsidRDefault="001D43D4" w:rsidP="004D3976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q-AL"/>
        </w:rPr>
      </w:pPr>
      <w:r w:rsidRPr="00DF6EAC">
        <w:rPr>
          <w:rFonts w:ascii="Times New Roman" w:hAnsi="Times New Roman"/>
          <w:color w:val="000000" w:themeColor="text1"/>
          <w:sz w:val="28"/>
          <w:szCs w:val="28"/>
          <w:lang w:val="sq-AL"/>
        </w:rPr>
        <w:t>Miratimi i k</w:t>
      </w:r>
      <w:r w:rsidR="00825F85" w:rsidRPr="00DF6EAC">
        <w:rPr>
          <w:rFonts w:ascii="Times New Roman" w:hAnsi="Times New Roman"/>
          <w:color w:val="000000" w:themeColor="text1"/>
          <w:sz w:val="28"/>
          <w:szCs w:val="28"/>
          <w:lang w:val="sq-AL"/>
        </w:rPr>
        <w:t>ë</w:t>
      </w:r>
      <w:r w:rsidRPr="00DF6EAC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tij ligji do </w:t>
      </w:r>
      <w:r w:rsidR="004D3976" w:rsidRPr="00DF6EAC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të sigurojë bazën ligjore për një model të ri të përmirësimit të statusit shoqëror dhe pozitës së të rinjve/rejave, si dhe krijimin e kushteve për adresimin e nevojave të </w:t>
      </w:r>
      <w:proofErr w:type="spellStart"/>
      <w:r w:rsidR="004D3976" w:rsidRPr="00DF6EAC">
        <w:rPr>
          <w:rFonts w:ascii="Times New Roman" w:hAnsi="Times New Roman"/>
          <w:color w:val="000000" w:themeColor="text1"/>
          <w:sz w:val="28"/>
          <w:szCs w:val="28"/>
          <w:lang w:val="sq-AL"/>
        </w:rPr>
        <w:t>të</w:t>
      </w:r>
      <w:proofErr w:type="spellEnd"/>
      <w:r w:rsidR="004D3976" w:rsidRPr="00DF6EAC">
        <w:rPr>
          <w:rFonts w:ascii="Times New Roman" w:hAnsi="Times New Roman"/>
          <w:color w:val="000000" w:themeColor="text1"/>
          <w:sz w:val="28"/>
          <w:szCs w:val="28"/>
          <w:lang w:val="sq-AL"/>
        </w:rPr>
        <w:t xml:space="preserve"> rinjve/rejave në të gjitha fushat që përbëjnë interes rinor. Ky opsion do të krijojë kushte për zhvillimin dhe rritjen e kapaciteteve vetjake dhe shoqërore, si dhe mbështetjen e të rinjve/rejave në organizime dhe aktivizime sociale dhe është opsioni i vetëm që do të mundësojë arritjen e objektivave të politikave ligjërisht.</w:t>
      </w:r>
    </w:p>
    <w:p w:rsidR="004D3976" w:rsidRPr="00DF6EAC" w:rsidRDefault="004D3976" w:rsidP="004D397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4D3976" w:rsidRPr="00DF6EAC" w:rsidRDefault="004D3976" w:rsidP="00413E5A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sq-AL"/>
        </w:rPr>
      </w:pPr>
    </w:p>
    <w:p w:rsidR="004D3976" w:rsidRPr="00DF6EAC" w:rsidRDefault="004D3976" w:rsidP="00E57026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Pr="00DF6EAC" w:rsidRDefault="00E57026" w:rsidP="00E57026">
      <w:pPr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 xml:space="preserve">                   </w:t>
      </w:r>
      <w:r w:rsidR="00DF6EAC">
        <w:rPr>
          <w:rFonts w:ascii="Times New Roman" w:hAnsi="Times New Roman"/>
          <w:b/>
          <w:sz w:val="28"/>
          <w:szCs w:val="28"/>
          <w:lang w:val="sq-AL"/>
        </w:rPr>
        <w:t xml:space="preserve"> </w:t>
      </w:r>
      <w:r w:rsidRPr="00DF6EAC">
        <w:rPr>
          <w:rFonts w:ascii="Times New Roman" w:hAnsi="Times New Roman"/>
          <w:b/>
          <w:sz w:val="28"/>
          <w:szCs w:val="28"/>
          <w:lang w:val="sq-AL"/>
        </w:rPr>
        <w:t>PROPOZUESI</w:t>
      </w:r>
      <w:r w:rsidR="00413E5A" w:rsidRPr="00DF6EAC">
        <w:rPr>
          <w:rFonts w:ascii="Times New Roman" w:hAnsi="Times New Roman"/>
          <w:b/>
          <w:sz w:val="28"/>
          <w:szCs w:val="28"/>
          <w:lang w:val="sq-AL"/>
        </w:rPr>
        <w:tab/>
      </w:r>
    </w:p>
    <w:p w:rsidR="00964FD5" w:rsidRPr="00DF6EAC" w:rsidRDefault="00964FD5" w:rsidP="00413E5A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sq-AL"/>
        </w:rPr>
      </w:pPr>
    </w:p>
    <w:p w:rsidR="00413E5A" w:rsidRDefault="00413E5A" w:rsidP="00413E5A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LINDITA NIKOLLA</w:t>
      </w:r>
    </w:p>
    <w:p w:rsidR="00DF6EAC" w:rsidRPr="00DF6EAC" w:rsidRDefault="00DF6EAC" w:rsidP="00413E5A">
      <w:pPr>
        <w:spacing w:line="240" w:lineRule="auto"/>
        <w:jc w:val="right"/>
        <w:rPr>
          <w:rFonts w:ascii="Times New Roman" w:hAnsi="Times New Roman"/>
          <w:b/>
          <w:sz w:val="28"/>
          <w:szCs w:val="28"/>
          <w:lang w:val="sq-AL"/>
        </w:rPr>
      </w:pPr>
    </w:p>
    <w:p w:rsidR="00B0003F" w:rsidRPr="00DF6EAC" w:rsidRDefault="00413E5A" w:rsidP="00E57026">
      <w:pPr>
        <w:spacing w:line="240" w:lineRule="auto"/>
        <w:jc w:val="right"/>
        <w:rPr>
          <w:rFonts w:ascii="Times New Roman" w:hAnsi="Times New Roman"/>
          <w:sz w:val="28"/>
          <w:szCs w:val="28"/>
          <w:lang w:val="sq-AL"/>
        </w:rPr>
      </w:pPr>
      <w:r w:rsidRPr="00DF6EAC">
        <w:rPr>
          <w:rFonts w:ascii="Times New Roman" w:hAnsi="Times New Roman"/>
          <w:b/>
          <w:sz w:val="28"/>
          <w:szCs w:val="28"/>
          <w:lang w:val="sq-AL"/>
        </w:rPr>
        <w:t>MINISTËR</w:t>
      </w:r>
    </w:p>
    <w:sectPr w:rsidR="00B0003F" w:rsidRPr="00DF6EAC" w:rsidSect="00DF79D2">
      <w:footerReference w:type="default" r:id="rId13"/>
      <w:pgSz w:w="11907" w:h="16839" w:code="9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31A" w:rsidRDefault="008D131A" w:rsidP="00B0003F">
      <w:pPr>
        <w:spacing w:after="0" w:line="240" w:lineRule="auto"/>
      </w:pPr>
      <w:r>
        <w:separator/>
      </w:r>
    </w:p>
  </w:endnote>
  <w:endnote w:type="continuationSeparator" w:id="0">
    <w:p w:rsidR="008D131A" w:rsidRDefault="008D131A" w:rsidP="00B0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Futura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5B5" w:rsidRPr="00843460" w:rsidRDefault="004535B5" w:rsidP="0027377B">
    <w:pPr>
      <w:pStyle w:val="Footer"/>
      <w:pBdr>
        <w:top w:val="thinThickSmallGap" w:sz="24" w:space="1" w:color="622423"/>
      </w:pBdr>
      <w:tabs>
        <w:tab w:val="clear" w:pos="4680"/>
      </w:tabs>
      <w:jc w:val="both"/>
      <w:rPr>
        <w:rFonts w:ascii="Times New Roman" w:eastAsia="Times New Roman" w:hAnsi="Times New Roman"/>
        <w:lang w:val="sq-AL"/>
      </w:rPr>
    </w:pPr>
    <w:r w:rsidRPr="00843460">
      <w:rPr>
        <w:rFonts w:ascii="Times New Roman" w:eastAsia="Times New Roman" w:hAnsi="Times New Roman"/>
        <w:lang w:val="sq-AL"/>
      </w:rPr>
      <w:t>Relacion shpjegues për projektligjin “P</w:t>
    </w:r>
    <w:r>
      <w:rPr>
        <w:rFonts w:ascii="Times New Roman" w:eastAsia="Times New Roman" w:hAnsi="Times New Roman"/>
        <w:lang w:val="sq-AL"/>
      </w:rPr>
      <w:t>ër Rinin</w:t>
    </w:r>
    <w:r w:rsidRPr="00843460">
      <w:rPr>
        <w:rFonts w:ascii="Times New Roman" w:eastAsia="Times New Roman" w:hAnsi="Times New Roman"/>
        <w:lang w:val="sq-AL"/>
      </w:rPr>
      <w:t>ë</w:t>
    </w:r>
    <w:r>
      <w:rPr>
        <w:rFonts w:ascii="Times New Roman" w:eastAsia="Times New Roman" w:hAnsi="Times New Roman"/>
        <w:lang w:val="sq-AL"/>
      </w:rPr>
      <w:t>”</w:t>
    </w:r>
    <w:r w:rsidRPr="00843460">
      <w:rPr>
        <w:rFonts w:ascii="Times New Roman" w:eastAsia="Times New Roman" w:hAnsi="Times New Roman"/>
        <w:lang w:val="sq-AL"/>
      </w:rPr>
      <w:tab/>
    </w:r>
  </w:p>
  <w:p w:rsidR="004535B5" w:rsidRDefault="004535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31A" w:rsidRDefault="008D131A" w:rsidP="00B0003F">
      <w:pPr>
        <w:spacing w:after="0" w:line="240" w:lineRule="auto"/>
      </w:pPr>
      <w:r>
        <w:separator/>
      </w:r>
    </w:p>
  </w:footnote>
  <w:footnote w:type="continuationSeparator" w:id="0">
    <w:p w:rsidR="008D131A" w:rsidRDefault="008D131A" w:rsidP="00B00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35066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BF066C"/>
    <w:multiLevelType w:val="hybridMultilevel"/>
    <w:tmpl w:val="965854A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72EFB"/>
    <w:multiLevelType w:val="hybridMultilevel"/>
    <w:tmpl w:val="D56AE5EC"/>
    <w:lvl w:ilvl="0" w:tplc="36967C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683D1F"/>
    <w:multiLevelType w:val="hybridMultilevel"/>
    <w:tmpl w:val="FA3A4316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825E5"/>
    <w:multiLevelType w:val="hybridMultilevel"/>
    <w:tmpl w:val="6D723EB0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937FF"/>
    <w:multiLevelType w:val="hybridMultilevel"/>
    <w:tmpl w:val="18D6492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2259C"/>
    <w:multiLevelType w:val="hybridMultilevel"/>
    <w:tmpl w:val="2F6E0FB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4540"/>
    <w:multiLevelType w:val="hybridMultilevel"/>
    <w:tmpl w:val="3D72BEA0"/>
    <w:lvl w:ilvl="0" w:tplc="291673D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C0DB6"/>
    <w:multiLevelType w:val="hybridMultilevel"/>
    <w:tmpl w:val="5B3EB3BA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BE478A"/>
    <w:multiLevelType w:val="hybridMultilevel"/>
    <w:tmpl w:val="5454876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A364C"/>
    <w:multiLevelType w:val="hybridMultilevel"/>
    <w:tmpl w:val="BAE2031A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8A4017"/>
    <w:multiLevelType w:val="hybridMultilevel"/>
    <w:tmpl w:val="B2AC0F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660EC5"/>
    <w:multiLevelType w:val="hybridMultilevel"/>
    <w:tmpl w:val="FCAC17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33BDF"/>
    <w:multiLevelType w:val="hybridMultilevel"/>
    <w:tmpl w:val="7AF8EAFA"/>
    <w:lvl w:ilvl="0" w:tplc="59F6B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E07A0"/>
    <w:multiLevelType w:val="hybridMultilevel"/>
    <w:tmpl w:val="703E7752"/>
    <w:lvl w:ilvl="0" w:tplc="E5AC7B02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68B0ABEE" w:tentative="1">
      <w:start w:val="1"/>
      <w:numFmt w:val="lowerLetter"/>
      <w:lvlText w:val="%2."/>
      <w:lvlJc w:val="left"/>
      <w:pPr>
        <w:ind w:left="1440" w:hanging="360"/>
      </w:pPr>
    </w:lvl>
    <w:lvl w:ilvl="2" w:tplc="7FCAE5D2" w:tentative="1">
      <w:start w:val="1"/>
      <w:numFmt w:val="lowerRoman"/>
      <w:lvlText w:val="%3."/>
      <w:lvlJc w:val="right"/>
      <w:pPr>
        <w:ind w:left="2160" w:hanging="180"/>
      </w:pPr>
    </w:lvl>
    <w:lvl w:ilvl="3" w:tplc="6568AF80" w:tentative="1">
      <w:start w:val="1"/>
      <w:numFmt w:val="decimal"/>
      <w:lvlText w:val="%4."/>
      <w:lvlJc w:val="left"/>
      <w:pPr>
        <w:ind w:left="2880" w:hanging="360"/>
      </w:pPr>
    </w:lvl>
    <w:lvl w:ilvl="4" w:tplc="446092F2" w:tentative="1">
      <w:start w:val="1"/>
      <w:numFmt w:val="lowerLetter"/>
      <w:lvlText w:val="%5."/>
      <w:lvlJc w:val="left"/>
      <w:pPr>
        <w:ind w:left="3600" w:hanging="360"/>
      </w:pPr>
    </w:lvl>
    <w:lvl w:ilvl="5" w:tplc="D52A440A" w:tentative="1">
      <w:start w:val="1"/>
      <w:numFmt w:val="lowerRoman"/>
      <w:lvlText w:val="%6."/>
      <w:lvlJc w:val="right"/>
      <w:pPr>
        <w:ind w:left="4320" w:hanging="180"/>
      </w:pPr>
    </w:lvl>
    <w:lvl w:ilvl="6" w:tplc="99D85C4A" w:tentative="1">
      <w:start w:val="1"/>
      <w:numFmt w:val="decimal"/>
      <w:lvlText w:val="%7."/>
      <w:lvlJc w:val="left"/>
      <w:pPr>
        <w:ind w:left="5040" w:hanging="360"/>
      </w:pPr>
    </w:lvl>
    <w:lvl w:ilvl="7" w:tplc="EC3420A6" w:tentative="1">
      <w:start w:val="1"/>
      <w:numFmt w:val="lowerLetter"/>
      <w:lvlText w:val="%8."/>
      <w:lvlJc w:val="left"/>
      <w:pPr>
        <w:ind w:left="5760" w:hanging="360"/>
      </w:pPr>
    </w:lvl>
    <w:lvl w:ilvl="8" w:tplc="D2D825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C7F36"/>
    <w:multiLevelType w:val="multilevel"/>
    <w:tmpl w:val="D0DE68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EFD07E5"/>
    <w:multiLevelType w:val="hybridMultilevel"/>
    <w:tmpl w:val="489A902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4399C"/>
    <w:multiLevelType w:val="hybridMultilevel"/>
    <w:tmpl w:val="574A3526"/>
    <w:lvl w:ilvl="0" w:tplc="CF52FB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F2864C" w:tentative="1">
      <w:start w:val="1"/>
      <w:numFmt w:val="lowerLetter"/>
      <w:lvlText w:val="%2."/>
      <w:lvlJc w:val="left"/>
      <w:pPr>
        <w:ind w:left="1440" w:hanging="360"/>
      </w:pPr>
    </w:lvl>
    <w:lvl w:ilvl="2" w:tplc="BC5CAAC6" w:tentative="1">
      <w:start w:val="1"/>
      <w:numFmt w:val="lowerRoman"/>
      <w:lvlText w:val="%3."/>
      <w:lvlJc w:val="right"/>
      <w:pPr>
        <w:ind w:left="2160" w:hanging="180"/>
      </w:pPr>
    </w:lvl>
    <w:lvl w:ilvl="3" w:tplc="049E991A" w:tentative="1">
      <w:start w:val="1"/>
      <w:numFmt w:val="decimal"/>
      <w:lvlText w:val="%4."/>
      <w:lvlJc w:val="left"/>
      <w:pPr>
        <w:ind w:left="2880" w:hanging="360"/>
      </w:pPr>
    </w:lvl>
    <w:lvl w:ilvl="4" w:tplc="FFB67762" w:tentative="1">
      <w:start w:val="1"/>
      <w:numFmt w:val="lowerLetter"/>
      <w:lvlText w:val="%5."/>
      <w:lvlJc w:val="left"/>
      <w:pPr>
        <w:ind w:left="3600" w:hanging="360"/>
      </w:pPr>
    </w:lvl>
    <w:lvl w:ilvl="5" w:tplc="87068D3A" w:tentative="1">
      <w:start w:val="1"/>
      <w:numFmt w:val="lowerRoman"/>
      <w:lvlText w:val="%6."/>
      <w:lvlJc w:val="right"/>
      <w:pPr>
        <w:ind w:left="4320" w:hanging="180"/>
      </w:pPr>
    </w:lvl>
    <w:lvl w:ilvl="6" w:tplc="69BA8CC6" w:tentative="1">
      <w:start w:val="1"/>
      <w:numFmt w:val="decimal"/>
      <w:lvlText w:val="%7."/>
      <w:lvlJc w:val="left"/>
      <w:pPr>
        <w:ind w:left="5040" w:hanging="360"/>
      </w:pPr>
    </w:lvl>
    <w:lvl w:ilvl="7" w:tplc="1F763FDA" w:tentative="1">
      <w:start w:val="1"/>
      <w:numFmt w:val="lowerLetter"/>
      <w:lvlText w:val="%8."/>
      <w:lvlJc w:val="left"/>
      <w:pPr>
        <w:ind w:left="5760" w:hanging="360"/>
      </w:pPr>
    </w:lvl>
    <w:lvl w:ilvl="8" w:tplc="F912B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8206A"/>
    <w:multiLevelType w:val="hybridMultilevel"/>
    <w:tmpl w:val="F128515C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987E80"/>
    <w:multiLevelType w:val="hybridMultilevel"/>
    <w:tmpl w:val="F6CC83AA"/>
    <w:lvl w:ilvl="0" w:tplc="6D386B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4567B"/>
    <w:multiLevelType w:val="hybridMultilevel"/>
    <w:tmpl w:val="80A84980"/>
    <w:lvl w:ilvl="0" w:tplc="041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A26520"/>
    <w:multiLevelType w:val="hybridMultilevel"/>
    <w:tmpl w:val="8D6857C0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31CF8"/>
    <w:multiLevelType w:val="hybridMultilevel"/>
    <w:tmpl w:val="1DEA163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B673A"/>
    <w:multiLevelType w:val="hybridMultilevel"/>
    <w:tmpl w:val="F908643E"/>
    <w:lvl w:ilvl="0" w:tplc="7B74929E">
      <w:start w:val="1"/>
      <w:numFmt w:val="upperLetter"/>
      <w:lvlText w:val="%1."/>
      <w:lvlJc w:val="left"/>
      <w:pPr>
        <w:ind w:left="1440" w:hanging="360"/>
      </w:pPr>
      <w:rPr>
        <w:rFonts w:ascii="Cambria" w:hAnsi="Cambria" w:cs="Times New Roman" w:hint="default"/>
      </w:rPr>
    </w:lvl>
    <w:lvl w:ilvl="1" w:tplc="51601FEE" w:tentative="1">
      <w:start w:val="1"/>
      <w:numFmt w:val="lowerLetter"/>
      <w:lvlText w:val="%2."/>
      <w:lvlJc w:val="left"/>
      <w:pPr>
        <w:ind w:left="2160" w:hanging="360"/>
      </w:pPr>
    </w:lvl>
    <w:lvl w:ilvl="2" w:tplc="42A03FE8" w:tentative="1">
      <w:start w:val="1"/>
      <w:numFmt w:val="lowerRoman"/>
      <w:lvlText w:val="%3."/>
      <w:lvlJc w:val="right"/>
      <w:pPr>
        <w:ind w:left="2880" w:hanging="180"/>
      </w:pPr>
    </w:lvl>
    <w:lvl w:ilvl="3" w:tplc="1C1E02BA" w:tentative="1">
      <w:start w:val="1"/>
      <w:numFmt w:val="decimal"/>
      <w:lvlText w:val="%4."/>
      <w:lvlJc w:val="left"/>
      <w:pPr>
        <w:ind w:left="3600" w:hanging="360"/>
      </w:pPr>
    </w:lvl>
    <w:lvl w:ilvl="4" w:tplc="D83E3F74" w:tentative="1">
      <w:start w:val="1"/>
      <w:numFmt w:val="lowerLetter"/>
      <w:lvlText w:val="%5."/>
      <w:lvlJc w:val="left"/>
      <w:pPr>
        <w:ind w:left="4320" w:hanging="360"/>
      </w:pPr>
    </w:lvl>
    <w:lvl w:ilvl="5" w:tplc="964A41F6" w:tentative="1">
      <w:start w:val="1"/>
      <w:numFmt w:val="lowerRoman"/>
      <w:lvlText w:val="%6."/>
      <w:lvlJc w:val="right"/>
      <w:pPr>
        <w:ind w:left="5040" w:hanging="180"/>
      </w:pPr>
    </w:lvl>
    <w:lvl w:ilvl="6" w:tplc="ED1E162E" w:tentative="1">
      <w:start w:val="1"/>
      <w:numFmt w:val="decimal"/>
      <w:lvlText w:val="%7."/>
      <w:lvlJc w:val="left"/>
      <w:pPr>
        <w:ind w:left="5760" w:hanging="360"/>
      </w:pPr>
    </w:lvl>
    <w:lvl w:ilvl="7" w:tplc="1F86BD16" w:tentative="1">
      <w:start w:val="1"/>
      <w:numFmt w:val="lowerLetter"/>
      <w:lvlText w:val="%8."/>
      <w:lvlJc w:val="left"/>
      <w:pPr>
        <w:ind w:left="6480" w:hanging="360"/>
      </w:pPr>
    </w:lvl>
    <w:lvl w:ilvl="8" w:tplc="97ECD95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50031B"/>
    <w:multiLevelType w:val="hybridMultilevel"/>
    <w:tmpl w:val="9B383BEE"/>
    <w:lvl w:ilvl="0" w:tplc="97A625C6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C0019" w:tentative="1">
      <w:start w:val="1"/>
      <w:numFmt w:val="lowerLetter"/>
      <w:lvlText w:val="%2."/>
      <w:lvlJc w:val="left"/>
      <w:pPr>
        <w:ind w:left="1500" w:hanging="360"/>
      </w:pPr>
    </w:lvl>
    <w:lvl w:ilvl="2" w:tplc="041C001B" w:tentative="1">
      <w:start w:val="1"/>
      <w:numFmt w:val="lowerRoman"/>
      <w:lvlText w:val="%3."/>
      <w:lvlJc w:val="right"/>
      <w:pPr>
        <w:ind w:left="2220" w:hanging="180"/>
      </w:pPr>
    </w:lvl>
    <w:lvl w:ilvl="3" w:tplc="041C000F" w:tentative="1">
      <w:start w:val="1"/>
      <w:numFmt w:val="decimal"/>
      <w:lvlText w:val="%4."/>
      <w:lvlJc w:val="left"/>
      <w:pPr>
        <w:ind w:left="2940" w:hanging="360"/>
      </w:pPr>
    </w:lvl>
    <w:lvl w:ilvl="4" w:tplc="041C0019" w:tentative="1">
      <w:start w:val="1"/>
      <w:numFmt w:val="lowerLetter"/>
      <w:lvlText w:val="%5."/>
      <w:lvlJc w:val="left"/>
      <w:pPr>
        <w:ind w:left="3660" w:hanging="360"/>
      </w:pPr>
    </w:lvl>
    <w:lvl w:ilvl="5" w:tplc="041C001B" w:tentative="1">
      <w:start w:val="1"/>
      <w:numFmt w:val="lowerRoman"/>
      <w:lvlText w:val="%6."/>
      <w:lvlJc w:val="right"/>
      <w:pPr>
        <w:ind w:left="4380" w:hanging="180"/>
      </w:pPr>
    </w:lvl>
    <w:lvl w:ilvl="6" w:tplc="041C000F" w:tentative="1">
      <w:start w:val="1"/>
      <w:numFmt w:val="decimal"/>
      <w:lvlText w:val="%7."/>
      <w:lvlJc w:val="left"/>
      <w:pPr>
        <w:ind w:left="5100" w:hanging="360"/>
      </w:pPr>
    </w:lvl>
    <w:lvl w:ilvl="7" w:tplc="041C0019" w:tentative="1">
      <w:start w:val="1"/>
      <w:numFmt w:val="lowerLetter"/>
      <w:lvlText w:val="%8."/>
      <w:lvlJc w:val="left"/>
      <w:pPr>
        <w:ind w:left="5820" w:hanging="360"/>
      </w:pPr>
    </w:lvl>
    <w:lvl w:ilvl="8" w:tplc="041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74EE0D05"/>
    <w:multiLevelType w:val="hybridMultilevel"/>
    <w:tmpl w:val="37AACDF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109F6"/>
    <w:multiLevelType w:val="hybridMultilevel"/>
    <w:tmpl w:val="1FB0E2CE"/>
    <w:lvl w:ilvl="0" w:tplc="52B8E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09BE8" w:tentative="1">
      <w:start w:val="1"/>
      <w:numFmt w:val="lowerLetter"/>
      <w:lvlText w:val="%2."/>
      <w:lvlJc w:val="left"/>
      <w:pPr>
        <w:ind w:left="1440" w:hanging="360"/>
      </w:pPr>
    </w:lvl>
    <w:lvl w:ilvl="2" w:tplc="A4B893FA" w:tentative="1">
      <w:start w:val="1"/>
      <w:numFmt w:val="lowerRoman"/>
      <w:lvlText w:val="%3."/>
      <w:lvlJc w:val="right"/>
      <w:pPr>
        <w:ind w:left="2160" w:hanging="180"/>
      </w:pPr>
    </w:lvl>
    <w:lvl w:ilvl="3" w:tplc="7E72627C" w:tentative="1">
      <w:start w:val="1"/>
      <w:numFmt w:val="decimal"/>
      <w:lvlText w:val="%4."/>
      <w:lvlJc w:val="left"/>
      <w:pPr>
        <w:ind w:left="2880" w:hanging="360"/>
      </w:pPr>
    </w:lvl>
    <w:lvl w:ilvl="4" w:tplc="C2C2FF4C" w:tentative="1">
      <w:start w:val="1"/>
      <w:numFmt w:val="lowerLetter"/>
      <w:lvlText w:val="%5."/>
      <w:lvlJc w:val="left"/>
      <w:pPr>
        <w:ind w:left="3600" w:hanging="360"/>
      </w:pPr>
    </w:lvl>
    <w:lvl w:ilvl="5" w:tplc="AF7A5248" w:tentative="1">
      <w:start w:val="1"/>
      <w:numFmt w:val="lowerRoman"/>
      <w:lvlText w:val="%6."/>
      <w:lvlJc w:val="right"/>
      <w:pPr>
        <w:ind w:left="4320" w:hanging="180"/>
      </w:pPr>
    </w:lvl>
    <w:lvl w:ilvl="6" w:tplc="231071C0" w:tentative="1">
      <w:start w:val="1"/>
      <w:numFmt w:val="decimal"/>
      <w:lvlText w:val="%7."/>
      <w:lvlJc w:val="left"/>
      <w:pPr>
        <w:ind w:left="5040" w:hanging="360"/>
      </w:pPr>
    </w:lvl>
    <w:lvl w:ilvl="7" w:tplc="617C4A8A" w:tentative="1">
      <w:start w:val="1"/>
      <w:numFmt w:val="lowerLetter"/>
      <w:lvlText w:val="%8."/>
      <w:lvlJc w:val="left"/>
      <w:pPr>
        <w:ind w:left="5760" w:hanging="360"/>
      </w:pPr>
    </w:lvl>
    <w:lvl w:ilvl="8" w:tplc="18E45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0B28BA"/>
    <w:multiLevelType w:val="hybridMultilevel"/>
    <w:tmpl w:val="CE66A3F2"/>
    <w:lvl w:ilvl="0" w:tplc="12A0FF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23"/>
  </w:num>
  <w:num w:numId="4">
    <w:abstractNumId w:val="14"/>
  </w:num>
  <w:num w:numId="5">
    <w:abstractNumId w:val="2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8"/>
  </w:num>
  <w:num w:numId="11">
    <w:abstractNumId w:val="25"/>
  </w:num>
  <w:num w:numId="12">
    <w:abstractNumId w:val="22"/>
  </w:num>
  <w:num w:numId="13">
    <w:abstractNumId w:val="1"/>
  </w:num>
  <w:num w:numId="14">
    <w:abstractNumId w:val="20"/>
  </w:num>
  <w:num w:numId="15">
    <w:abstractNumId w:val="27"/>
  </w:num>
  <w:num w:numId="16">
    <w:abstractNumId w:val="10"/>
  </w:num>
  <w:num w:numId="17">
    <w:abstractNumId w:val="18"/>
  </w:num>
  <w:num w:numId="18">
    <w:abstractNumId w:val="3"/>
  </w:num>
  <w:num w:numId="19">
    <w:abstractNumId w:val="7"/>
  </w:num>
  <w:num w:numId="20">
    <w:abstractNumId w:val="19"/>
  </w:num>
  <w:num w:numId="21">
    <w:abstractNumId w:val="13"/>
  </w:num>
  <w:num w:numId="22">
    <w:abstractNumId w:val="16"/>
  </w:num>
  <w:num w:numId="23">
    <w:abstractNumId w:val="5"/>
  </w:num>
  <w:num w:numId="24">
    <w:abstractNumId w:val="2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2"/>
  </w:num>
  <w:num w:numId="28">
    <w:abstractNumId w:val="24"/>
  </w:num>
  <w:num w:numId="29">
    <w:abstractNumId w:val="2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4E"/>
    <w:rsid w:val="00010D4E"/>
    <w:rsid w:val="00041C24"/>
    <w:rsid w:val="00056AF4"/>
    <w:rsid w:val="0009597A"/>
    <w:rsid w:val="000A5E9C"/>
    <w:rsid w:val="000B03D1"/>
    <w:rsid w:val="000F2571"/>
    <w:rsid w:val="00117536"/>
    <w:rsid w:val="00127318"/>
    <w:rsid w:val="00127D7D"/>
    <w:rsid w:val="001717EB"/>
    <w:rsid w:val="001B2108"/>
    <w:rsid w:val="001C24EA"/>
    <w:rsid w:val="001C6520"/>
    <w:rsid w:val="001C7436"/>
    <w:rsid w:val="001D43D4"/>
    <w:rsid w:val="001F4EE5"/>
    <w:rsid w:val="001F5B80"/>
    <w:rsid w:val="002055BA"/>
    <w:rsid w:val="002109CB"/>
    <w:rsid w:val="002327D6"/>
    <w:rsid w:val="00233D2C"/>
    <w:rsid w:val="00244297"/>
    <w:rsid w:val="0027377B"/>
    <w:rsid w:val="002828F0"/>
    <w:rsid w:val="002953A2"/>
    <w:rsid w:val="00297D25"/>
    <w:rsid w:val="002B345E"/>
    <w:rsid w:val="002C3107"/>
    <w:rsid w:val="002C5164"/>
    <w:rsid w:val="002D0D3D"/>
    <w:rsid w:val="002E1D05"/>
    <w:rsid w:val="00304B4A"/>
    <w:rsid w:val="00306223"/>
    <w:rsid w:val="0032798E"/>
    <w:rsid w:val="00333F28"/>
    <w:rsid w:val="003721C5"/>
    <w:rsid w:val="00391ACF"/>
    <w:rsid w:val="003A1FBC"/>
    <w:rsid w:val="003B0295"/>
    <w:rsid w:val="003B0B97"/>
    <w:rsid w:val="003B1E77"/>
    <w:rsid w:val="003C429D"/>
    <w:rsid w:val="003C4F39"/>
    <w:rsid w:val="003D140C"/>
    <w:rsid w:val="003D7F3F"/>
    <w:rsid w:val="003F34F9"/>
    <w:rsid w:val="004038EE"/>
    <w:rsid w:val="00410968"/>
    <w:rsid w:val="00413E5A"/>
    <w:rsid w:val="004247CC"/>
    <w:rsid w:val="00444AB1"/>
    <w:rsid w:val="004535B5"/>
    <w:rsid w:val="004822C4"/>
    <w:rsid w:val="004942C3"/>
    <w:rsid w:val="004D3976"/>
    <w:rsid w:val="004E454D"/>
    <w:rsid w:val="0050670B"/>
    <w:rsid w:val="00515835"/>
    <w:rsid w:val="00560D2A"/>
    <w:rsid w:val="005635D0"/>
    <w:rsid w:val="005675C5"/>
    <w:rsid w:val="00570DFC"/>
    <w:rsid w:val="005769C5"/>
    <w:rsid w:val="00583755"/>
    <w:rsid w:val="00591832"/>
    <w:rsid w:val="005945F2"/>
    <w:rsid w:val="0059488A"/>
    <w:rsid w:val="005B34A3"/>
    <w:rsid w:val="005F35F9"/>
    <w:rsid w:val="006234B1"/>
    <w:rsid w:val="00626366"/>
    <w:rsid w:val="00640584"/>
    <w:rsid w:val="00641019"/>
    <w:rsid w:val="00643B14"/>
    <w:rsid w:val="00671579"/>
    <w:rsid w:val="00671800"/>
    <w:rsid w:val="00696065"/>
    <w:rsid w:val="006B2C48"/>
    <w:rsid w:val="006C05D6"/>
    <w:rsid w:val="006C5AFF"/>
    <w:rsid w:val="006E3147"/>
    <w:rsid w:val="006F6A0F"/>
    <w:rsid w:val="00703976"/>
    <w:rsid w:val="00704731"/>
    <w:rsid w:val="00713707"/>
    <w:rsid w:val="00723D07"/>
    <w:rsid w:val="00730684"/>
    <w:rsid w:val="0074467A"/>
    <w:rsid w:val="00747A86"/>
    <w:rsid w:val="00765EFA"/>
    <w:rsid w:val="00773B8F"/>
    <w:rsid w:val="00787F8D"/>
    <w:rsid w:val="00791AE3"/>
    <w:rsid w:val="00792E39"/>
    <w:rsid w:val="007A0CC7"/>
    <w:rsid w:val="007B181B"/>
    <w:rsid w:val="007F6EAE"/>
    <w:rsid w:val="008243F0"/>
    <w:rsid w:val="00825F85"/>
    <w:rsid w:val="008349B3"/>
    <w:rsid w:val="00843460"/>
    <w:rsid w:val="008506E4"/>
    <w:rsid w:val="00855959"/>
    <w:rsid w:val="00857ADD"/>
    <w:rsid w:val="008601B9"/>
    <w:rsid w:val="0086502C"/>
    <w:rsid w:val="0088316A"/>
    <w:rsid w:val="008D03E3"/>
    <w:rsid w:val="008D131A"/>
    <w:rsid w:val="008E68C5"/>
    <w:rsid w:val="008F49B0"/>
    <w:rsid w:val="008F4EE1"/>
    <w:rsid w:val="009046B3"/>
    <w:rsid w:val="00912FE6"/>
    <w:rsid w:val="00935C94"/>
    <w:rsid w:val="00945D91"/>
    <w:rsid w:val="00964FD5"/>
    <w:rsid w:val="0098691A"/>
    <w:rsid w:val="009A0A8F"/>
    <w:rsid w:val="009B5D9C"/>
    <w:rsid w:val="009C7D8F"/>
    <w:rsid w:val="009D3768"/>
    <w:rsid w:val="009D698F"/>
    <w:rsid w:val="009F2FC5"/>
    <w:rsid w:val="00A04A00"/>
    <w:rsid w:val="00A05F0B"/>
    <w:rsid w:val="00A115A2"/>
    <w:rsid w:val="00A355BB"/>
    <w:rsid w:val="00A5097D"/>
    <w:rsid w:val="00A646A8"/>
    <w:rsid w:val="00A70CC0"/>
    <w:rsid w:val="00A878D7"/>
    <w:rsid w:val="00AA2B2F"/>
    <w:rsid w:val="00AC2BCE"/>
    <w:rsid w:val="00AD2515"/>
    <w:rsid w:val="00AD755A"/>
    <w:rsid w:val="00AE0461"/>
    <w:rsid w:val="00AE72BA"/>
    <w:rsid w:val="00AE7432"/>
    <w:rsid w:val="00B0003F"/>
    <w:rsid w:val="00B01593"/>
    <w:rsid w:val="00B06394"/>
    <w:rsid w:val="00B21B1B"/>
    <w:rsid w:val="00B22A02"/>
    <w:rsid w:val="00B3487A"/>
    <w:rsid w:val="00BA31B9"/>
    <w:rsid w:val="00BD5534"/>
    <w:rsid w:val="00BE3E19"/>
    <w:rsid w:val="00BF7690"/>
    <w:rsid w:val="00C101A0"/>
    <w:rsid w:val="00C10B14"/>
    <w:rsid w:val="00C144CF"/>
    <w:rsid w:val="00C40CBE"/>
    <w:rsid w:val="00C46A91"/>
    <w:rsid w:val="00C50EB7"/>
    <w:rsid w:val="00C52B2E"/>
    <w:rsid w:val="00C73B3E"/>
    <w:rsid w:val="00CB6090"/>
    <w:rsid w:val="00CD0F05"/>
    <w:rsid w:val="00CF7280"/>
    <w:rsid w:val="00D179B3"/>
    <w:rsid w:val="00D55769"/>
    <w:rsid w:val="00D77F36"/>
    <w:rsid w:val="00D81BFE"/>
    <w:rsid w:val="00DA3386"/>
    <w:rsid w:val="00DA3EDB"/>
    <w:rsid w:val="00DB66FF"/>
    <w:rsid w:val="00DC00D7"/>
    <w:rsid w:val="00DC0A99"/>
    <w:rsid w:val="00DC2236"/>
    <w:rsid w:val="00DC4BAE"/>
    <w:rsid w:val="00DD1C88"/>
    <w:rsid w:val="00DE0E7D"/>
    <w:rsid w:val="00DF6EAC"/>
    <w:rsid w:val="00DF79D2"/>
    <w:rsid w:val="00E26828"/>
    <w:rsid w:val="00E332DA"/>
    <w:rsid w:val="00E547A4"/>
    <w:rsid w:val="00E56850"/>
    <w:rsid w:val="00E57026"/>
    <w:rsid w:val="00E63235"/>
    <w:rsid w:val="00E733C0"/>
    <w:rsid w:val="00E826C7"/>
    <w:rsid w:val="00E82CC5"/>
    <w:rsid w:val="00E84717"/>
    <w:rsid w:val="00EA752A"/>
    <w:rsid w:val="00EC71CA"/>
    <w:rsid w:val="00F77348"/>
    <w:rsid w:val="00F96F86"/>
    <w:rsid w:val="00FB79AC"/>
    <w:rsid w:val="00FC54B0"/>
    <w:rsid w:val="00FE05D2"/>
    <w:rsid w:val="00FE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703107-D129-489C-AB5F-41223C23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AE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010D4E"/>
    <w:pPr>
      <w:ind w:left="720"/>
      <w:contextualSpacing/>
    </w:pPr>
  </w:style>
  <w:style w:type="table" w:styleId="TableGrid">
    <w:name w:val="Table Grid"/>
    <w:basedOn w:val="TableNormal"/>
    <w:uiPriority w:val="59"/>
    <w:rsid w:val="00010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0D9"/>
  </w:style>
  <w:style w:type="paragraph" w:styleId="Footer">
    <w:name w:val="footer"/>
    <w:basedOn w:val="Normal"/>
    <w:link w:val="FooterChar"/>
    <w:uiPriority w:val="99"/>
    <w:unhideWhenUsed/>
    <w:rsid w:val="002660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0D9"/>
  </w:style>
  <w:style w:type="paragraph" w:styleId="BalloonText">
    <w:name w:val="Balloon Text"/>
    <w:basedOn w:val="Normal"/>
    <w:link w:val="BalloonTextChar"/>
    <w:uiPriority w:val="99"/>
    <w:semiHidden/>
    <w:unhideWhenUsed/>
    <w:rsid w:val="0026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60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005"/>
    <w:pPr>
      <w:ind w:left="720"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05D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FE05D2"/>
    <w:rPr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FE05D2"/>
    <w:rPr>
      <w:rFonts w:ascii="PMingLiU" w:eastAsia="PMingLiU" w:hAnsi="PMingLiU"/>
    </w:rPr>
  </w:style>
  <w:style w:type="paragraph" w:styleId="NoSpacing">
    <w:name w:val="No Spacing"/>
    <w:link w:val="NoSpacingChar"/>
    <w:uiPriority w:val="1"/>
    <w:qFormat/>
    <w:rsid w:val="00FE05D2"/>
    <w:rPr>
      <w:rFonts w:ascii="PMingLiU" w:eastAsia="PMingLiU" w:hAnsi="PMingLiU"/>
    </w:rPr>
  </w:style>
  <w:style w:type="paragraph" w:customStyle="1" w:styleId="Default">
    <w:name w:val="Default"/>
    <w:rsid w:val="00CF7280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  <w:lang w:val="sq-AL"/>
    </w:rPr>
  </w:style>
  <w:style w:type="character" w:styleId="CommentReference">
    <w:name w:val="annotation reference"/>
    <w:uiPriority w:val="99"/>
    <w:semiHidden/>
    <w:unhideWhenUsed/>
    <w:rsid w:val="004247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47C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47CC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47C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47CC"/>
    <w:rPr>
      <w:b/>
      <w:bCs/>
      <w:lang w:val="en-US" w:eastAsia="en-US"/>
    </w:rPr>
  </w:style>
  <w:style w:type="paragraph" w:styleId="NormalWeb">
    <w:name w:val="Normal (Web)"/>
    <w:basedOn w:val="Normal"/>
    <w:uiPriority w:val="99"/>
    <w:unhideWhenUsed/>
    <w:rsid w:val="00912FE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q-AL"/>
    </w:rPr>
  </w:style>
  <w:style w:type="table" w:styleId="GridTable6Colorful-Accent4">
    <w:name w:val="Grid Table 6 Colorful Accent 4"/>
    <w:basedOn w:val="TableNormal"/>
    <w:uiPriority w:val="51"/>
    <w:rsid w:val="004D39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D3976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4D397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4D397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44BBFFB32CAA8447859DD9ADC892A94C" ma:contentTypeVersion="" ma:contentTypeDescription="" ma:contentTypeScope="" ma:versionID="97dc3be77eaf1aeee2bed8799c4c32a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4936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CF76B-9FF1-45B1-9B17-656EFCC42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4ED54D-D61C-471E-AD66-451064F877AF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DE8EB7-8570-4A5A-8DE7-D9811B0A5FC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52A601-4D79-4586-8580-2EB06BF72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5146</Words>
  <Characters>29335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RELACIONI I PROJEKLIGJIT PËR DISA SHTESA DHE NDRYSHIME NË LIGJIN NR. 69/2012 “PËR SISTEMIN ARSIMOR PARAUNIVERSITAR NË REPUBLIKËN E SHQIPËRISË”, I NDRYSHUAR</vt:lpstr>
    </vt:vector>
  </TitlesOfParts>
  <Company>Grizli777</Company>
  <LinksUpToDate>false</LinksUpToDate>
  <CharactersWithSpaces>34413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RELACIONI I PROJEKLIGJIT PËR DISA SHTESA DHE NDRYSHIME NË LIGJIN NR. 69/2012 “PËR SISTEMIN ARSIMOR PARAUNIVERSITAR NË REPUBLIKËN E SHQIPËRISË”, I NDRYSHUAR</dc:title>
  <dc:creator>Ilirjana Nano</dc:creator>
  <cp:lastModifiedBy>Denisa Veliu</cp:lastModifiedBy>
  <cp:revision>8</cp:revision>
  <cp:lastPrinted>1899-12-31T23:00:00Z</cp:lastPrinted>
  <dcterms:created xsi:type="dcterms:W3CDTF">2018-11-15T14:04:00Z</dcterms:created>
  <dcterms:modified xsi:type="dcterms:W3CDTF">2018-11-15T14:46:00Z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RELACIONI I PROJEKLIGJIT PËR DISA SHTESA DHE NDRYSHIME NË LIGJIN NR. 69/2012 “PËR SISTEMIN ARSIMOR PARAUNIVERSITAR NË REPUBLIKËN E SHQIPËRISË”, I NDRYSHUAR</vt:lpwstr>
  </property>
</Properties>
</file>